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58E87" w14:textId="291277D4" w:rsidR="000C15C3" w:rsidRPr="007F2A01" w:rsidRDefault="00D15CE3" w:rsidP="00484CD6">
      <w:pPr>
        <w:jc w:val="center"/>
        <w:rPr>
          <w:b/>
          <w:lang w:val="en-GB"/>
        </w:rPr>
      </w:pPr>
      <w:r w:rsidRPr="007F2A01">
        <w:rPr>
          <w:b/>
          <w:lang w:val="en-GB"/>
        </w:rPr>
        <w:t xml:space="preserve">XSE (the </w:t>
      </w:r>
      <w:r w:rsidR="006A5129" w:rsidRPr="007F2A01">
        <w:rPr>
          <w:b/>
          <w:lang w:val="en-GB"/>
        </w:rPr>
        <w:t>“</w:t>
      </w:r>
      <w:r w:rsidRPr="007F2A01">
        <w:rPr>
          <w:b/>
          <w:lang w:val="en-GB"/>
        </w:rPr>
        <w:t>Fund</w:t>
      </w:r>
      <w:r w:rsidR="006A5129" w:rsidRPr="007F2A01">
        <w:rPr>
          <w:b/>
          <w:lang w:val="en-GB"/>
        </w:rPr>
        <w:t>”</w:t>
      </w:r>
      <w:r w:rsidRPr="007F2A01">
        <w:rPr>
          <w:b/>
          <w:lang w:val="en-GB"/>
        </w:rPr>
        <w:t>)</w:t>
      </w:r>
    </w:p>
    <w:p w14:paraId="44988707" w14:textId="77777777" w:rsidR="00484CD6" w:rsidRPr="007F2A01" w:rsidRDefault="00484CD6" w:rsidP="00484CD6">
      <w:pPr>
        <w:jc w:val="center"/>
        <w:rPr>
          <w:b/>
          <w:lang w:val="en-GB"/>
        </w:rPr>
      </w:pPr>
    </w:p>
    <w:p w14:paraId="5F6B598C" w14:textId="2B59954E" w:rsidR="00D15CE3" w:rsidRPr="007F2A01" w:rsidRDefault="00D15CE3" w:rsidP="00484CD6">
      <w:pPr>
        <w:jc w:val="center"/>
        <w:rPr>
          <w:b/>
          <w:lang w:val="en-GB"/>
        </w:rPr>
      </w:pPr>
      <w:r w:rsidRPr="007F2A01">
        <w:rPr>
          <w:b/>
          <w:lang w:val="en-GB"/>
        </w:rPr>
        <w:t>a sub-fund of</w:t>
      </w:r>
    </w:p>
    <w:p w14:paraId="53DA41D8" w14:textId="77777777" w:rsidR="00484CD6" w:rsidRPr="007F2A01" w:rsidRDefault="00484CD6" w:rsidP="00484CD6">
      <w:pPr>
        <w:jc w:val="center"/>
        <w:rPr>
          <w:b/>
          <w:lang w:val="en-GB"/>
        </w:rPr>
      </w:pPr>
    </w:p>
    <w:p w14:paraId="34573FE1" w14:textId="77777777" w:rsidR="00D15CE3" w:rsidRPr="007F2A01" w:rsidRDefault="00D15CE3" w:rsidP="00484CD6">
      <w:pPr>
        <w:jc w:val="center"/>
        <w:rPr>
          <w:b/>
          <w:lang w:val="en-GB"/>
        </w:rPr>
      </w:pPr>
      <w:r w:rsidRPr="007F2A01">
        <w:rPr>
          <w:b/>
          <w:lang w:val="en-GB"/>
        </w:rPr>
        <w:t>NANJIA CAPITAL ICAV</w:t>
      </w:r>
    </w:p>
    <w:p w14:paraId="123A636C" w14:textId="77777777" w:rsidR="00D15CE3" w:rsidRPr="007F2A01" w:rsidRDefault="00D15CE3" w:rsidP="00484CD6">
      <w:pPr>
        <w:jc w:val="center"/>
        <w:rPr>
          <w:b/>
          <w:lang w:val="en-GB"/>
        </w:rPr>
      </w:pPr>
    </w:p>
    <w:p w14:paraId="5688585F" w14:textId="7433FB30" w:rsidR="00484CD6" w:rsidRPr="007F2A01" w:rsidRDefault="00D15CE3" w:rsidP="00484CD6">
      <w:pPr>
        <w:jc w:val="center"/>
        <w:rPr>
          <w:b/>
          <w:lang w:val="en-GB"/>
        </w:rPr>
      </w:pPr>
      <w:r w:rsidRPr="007F2A01">
        <w:rPr>
          <w:b/>
          <w:lang w:val="en-GB"/>
        </w:rPr>
        <w:t>Supplement to the</w:t>
      </w:r>
    </w:p>
    <w:p w14:paraId="6504E10D" w14:textId="47B3286D" w:rsidR="00D15CE3" w:rsidRPr="007F2A01" w:rsidRDefault="00D15CE3" w:rsidP="00484CD6">
      <w:pPr>
        <w:jc w:val="center"/>
        <w:rPr>
          <w:b/>
          <w:lang w:val="en-GB"/>
        </w:rPr>
      </w:pPr>
      <w:r w:rsidRPr="007F2A01">
        <w:rPr>
          <w:b/>
          <w:lang w:val="en-GB"/>
        </w:rPr>
        <w:t>Prospectus</w:t>
      </w:r>
    </w:p>
    <w:p w14:paraId="04AEB8F9" w14:textId="77777777" w:rsidR="00843091" w:rsidRPr="007F2A01" w:rsidRDefault="00843091" w:rsidP="00484CD6">
      <w:pPr>
        <w:jc w:val="center"/>
        <w:rPr>
          <w:b/>
          <w:lang w:val="en-GB"/>
        </w:rPr>
      </w:pPr>
    </w:p>
    <w:p w14:paraId="073AA01E" w14:textId="77777777" w:rsidR="00D15CE3" w:rsidRPr="007F2A01" w:rsidRDefault="00D15CE3" w:rsidP="003853EA">
      <w:pPr>
        <w:pStyle w:val="BodyText"/>
        <w:ind w:left="0"/>
        <w:jc w:val="center"/>
        <w:rPr>
          <w:lang w:val="en-GB"/>
        </w:rPr>
      </w:pPr>
    </w:p>
    <w:p w14:paraId="6F1D640E" w14:textId="388DFA78" w:rsidR="00D15CE3" w:rsidRPr="007F2A01" w:rsidRDefault="00D15CE3" w:rsidP="00770F75">
      <w:pPr>
        <w:widowControl/>
        <w:rPr>
          <w:b/>
          <w:lang w:val="en-GB"/>
        </w:rPr>
      </w:pPr>
      <w:r w:rsidRPr="007F2A01">
        <w:rPr>
          <w:b/>
          <w:lang w:val="en-GB"/>
        </w:rPr>
        <w:t>This Supplement contains specific information in relation to XSE, a sub-fund of Nanjia Capital ICAV (the “ICAV”), an open-ended umbrella body corporate limited by shares, with variable capital and segregated liability between sub-funds, which is registered under the laws of Ireland and authorised under the European Communities (Undertakings for Collective Investment in Transferable Securities) Regulations, 2011 (as amended).</w:t>
      </w:r>
    </w:p>
    <w:p w14:paraId="55946006" w14:textId="77777777" w:rsidR="00D15CE3" w:rsidRPr="007F2A01" w:rsidRDefault="00D15CE3" w:rsidP="003853EA">
      <w:pPr>
        <w:pStyle w:val="BodyText"/>
        <w:ind w:left="0"/>
        <w:rPr>
          <w:lang w:val="en-GB"/>
        </w:rPr>
      </w:pPr>
    </w:p>
    <w:p w14:paraId="3834B899" w14:textId="0056179B" w:rsidR="00D15CE3" w:rsidRPr="007F2A01" w:rsidRDefault="00D15CE3" w:rsidP="00770F75">
      <w:pPr>
        <w:widowControl/>
        <w:rPr>
          <w:b/>
          <w:lang w:val="en-GB"/>
        </w:rPr>
      </w:pPr>
      <w:r w:rsidRPr="007F2A01">
        <w:rPr>
          <w:b/>
          <w:lang w:val="en-GB"/>
        </w:rPr>
        <w:t xml:space="preserve">This Supplement forms part of the Prospectus of the ICAV dated </w:t>
      </w:r>
      <w:r w:rsidR="00C50CF9">
        <w:rPr>
          <w:b/>
          <w:lang w:val="en-GB"/>
        </w:rPr>
        <w:t>13 November</w:t>
      </w:r>
      <w:r w:rsidR="00C50CF9" w:rsidRPr="007F2A01">
        <w:rPr>
          <w:b/>
          <w:lang w:val="en-GB"/>
        </w:rPr>
        <w:t xml:space="preserve"> </w:t>
      </w:r>
      <w:r w:rsidRPr="007F2A01">
        <w:rPr>
          <w:b/>
          <w:lang w:val="en-GB"/>
        </w:rPr>
        <w:t>2024</w:t>
      </w:r>
      <w:r w:rsidR="00C36CE0" w:rsidRPr="007F2A01">
        <w:rPr>
          <w:b/>
          <w:lang w:val="en-GB"/>
        </w:rPr>
        <w:t xml:space="preserve"> </w:t>
      </w:r>
      <w:r w:rsidRPr="007F2A01">
        <w:rPr>
          <w:b/>
          <w:lang w:val="en-GB"/>
        </w:rPr>
        <w:t xml:space="preserve">(the </w:t>
      </w:r>
      <w:r w:rsidR="000C15C3" w:rsidRPr="007F2A01">
        <w:rPr>
          <w:b/>
          <w:lang w:val="en-GB"/>
        </w:rPr>
        <w:t>“</w:t>
      </w:r>
      <w:r w:rsidRPr="007F2A01">
        <w:rPr>
          <w:b/>
          <w:lang w:val="en-GB"/>
        </w:rPr>
        <w:t>Prospectus</w:t>
      </w:r>
      <w:r w:rsidR="000C15C3" w:rsidRPr="007F2A01">
        <w:rPr>
          <w:b/>
          <w:lang w:val="en-GB"/>
        </w:rPr>
        <w:t>”</w:t>
      </w:r>
      <w:r w:rsidRPr="007F2A01">
        <w:rPr>
          <w:b/>
          <w:lang w:val="en-GB"/>
        </w:rPr>
        <w:t>) and should be read in the context of and together with the Prospectus.</w:t>
      </w:r>
    </w:p>
    <w:p w14:paraId="599A8711" w14:textId="77777777" w:rsidR="00D15CE3" w:rsidRPr="007F2A01" w:rsidRDefault="00D15CE3" w:rsidP="004146D0">
      <w:pPr>
        <w:rPr>
          <w:lang w:val="en-GB"/>
        </w:rPr>
      </w:pPr>
    </w:p>
    <w:p w14:paraId="183C8DF1" w14:textId="3611ECAC" w:rsidR="00D15CE3" w:rsidRPr="007F2A01" w:rsidRDefault="00D15CE3" w:rsidP="004146D0">
      <w:pPr>
        <w:rPr>
          <w:lang w:val="en-GB"/>
        </w:rPr>
      </w:pPr>
      <w:r w:rsidRPr="007F2A01">
        <w:rPr>
          <w:lang w:val="en-GB"/>
        </w:rPr>
        <w:t xml:space="preserve">The Directors of the ICAV, whose names appear under the section entitled </w:t>
      </w:r>
      <w:r w:rsidRPr="007F2A01">
        <w:rPr>
          <w:b/>
          <w:lang w:val="en-GB"/>
        </w:rPr>
        <w:t xml:space="preserve">Directors of the ICAV </w:t>
      </w:r>
      <w:r w:rsidRPr="007F2A01">
        <w:rPr>
          <w:lang w:val="en-GB"/>
        </w:rPr>
        <w:t xml:space="preserve">in the Prospectus, accept responsibility for the information contained in the Prospectus and this Supplement. </w:t>
      </w:r>
      <w:r w:rsidRPr="0074751A">
        <w:rPr>
          <w:lang w:val="en-GB"/>
        </w:rPr>
        <w:t xml:space="preserve">To the best of the knowledge and belief of the Directors (who have taken all reasonable care to ensure that such is the case) such information is in accordance with the facts and does not omit anything likely to affect the importance of such information. </w:t>
      </w:r>
      <w:r w:rsidRPr="007F2A01">
        <w:rPr>
          <w:lang w:val="en-GB"/>
        </w:rPr>
        <w:t>The Directors accept responsibility accordingly.</w:t>
      </w:r>
    </w:p>
    <w:p w14:paraId="48D6DECD" w14:textId="77777777" w:rsidR="00E3399D" w:rsidRPr="007F2A01" w:rsidRDefault="00E3399D" w:rsidP="004146D0">
      <w:pPr>
        <w:rPr>
          <w:lang w:val="en-GB"/>
        </w:rPr>
      </w:pPr>
    </w:p>
    <w:p w14:paraId="28E0E6D0" w14:textId="74F244AA" w:rsidR="00D15CE3" w:rsidRPr="007F2A01" w:rsidRDefault="00D15CE3" w:rsidP="004146D0">
      <w:pPr>
        <w:rPr>
          <w:lang w:val="en-GB"/>
        </w:rPr>
      </w:pPr>
      <w:r w:rsidRPr="007F2A01">
        <w:rPr>
          <w:lang w:val="en-GB"/>
        </w:rPr>
        <w:t>Words and expressions defined in the Prospectus shall, unless the context otherwise requires, have the same meaning when used in this Supplement.</w:t>
      </w:r>
    </w:p>
    <w:p w14:paraId="0D4132FC" w14:textId="77777777" w:rsidR="00AF527D" w:rsidRPr="007F2A01" w:rsidRDefault="00AF527D" w:rsidP="003853EA">
      <w:pPr>
        <w:pStyle w:val="BodyText"/>
        <w:ind w:left="0"/>
        <w:rPr>
          <w:lang w:val="en-GB"/>
        </w:rPr>
      </w:pPr>
    </w:p>
    <w:p w14:paraId="57037EF2" w14:textId="77777777" w:rsidR="00D15CE3" w:rsidRPr="007F2A01" w:rsidRDefault="00D15CE3" w:rsidP="00770F75">
      <w:pPr>
        <w:widowControl/>
        <w:rPr>
          <w:b/>
          <w:lang w:val="en-GB"/>
        </w:rPr>
      </w:pPr>
      <w:bookmarkStart w:id="0" w:name="_Hlk40949446"/>
      <w:r w:rsidRPr="007F2A01">
        <w:rPr>
          <w:b/>
          <w:lang w:val="en-GB"/>
        </w:rPr>
        <w:t>Investors should note that an investment in the Fund should not constitute a substantial proportion of an investment portfolio and may not be appropriate for all investors.</w:t>
      </w:r>
    </w:p>
    <w:bookmarkEnd w:id="0"/>
    <w:p w14:paraId="3C29EB65" w14:textId="77777777" w:rsidR="00D15CE3" w:rsidRPr="007F2A01" w:rsidRDefault="00D15CE3" w:rsidP="003853EA">
      <w:pPr>
        <w:pStyle w:val="BodyText"/>
        <w:ind w:left="0"/>
        <w:rPr>
          <w:lang w:val="en-GB"/>
        </w:rPr>
      </w:pPr>
    </w:p>
    <w:p w14:paraId="2F386798" w14:textId="77777777" w:rsidR="00D15CE3" w:rsidRPr="007F2A01" w:rsidRDefault="00D15CE3" w:rsidP="00770F75">
      <w:pPr>
        <w:widowControl/>
        <w:rPr>
          <w:b/>
          <w:lang w:val="en-GB"/>
        </w:rPr>
      </w:pPr>
      <w:r w:rsidRPr="007F2A01">
        <w:rPr>
          <w:b/>
          <w:lang w:val="en-GB"/>
        </w:rPr>
        <w:t>The Fund may have a high volatility due to its investment policy or portfolio management techniques.</w:t>
      </w:r>
    </w:p>
    <w:p w14:paraId="21EB0D42" w14:textId="77777777" w:rsidR="00D15CE3" w:rsidRPr="007F2A01" w:rsidRDefault="00D15CE3" w:rsidP="003853EA">
      <w:pPr>
        <w:pStyle w:val="BodyText"/>
        <w:ind w:left="0"/>
        <w:rPr>
          <w:lang w:val="en-GB"/>
        </w:rPr>
      </w:pPr>
    </w:p>
    <w:p w14:paraId="51686B0D" w14:textId="77777777" w:rsidR="00D15CE3" w:rsidRPr="007F2A01" w:rsidRDefault="00D15CE3" w:rsidP="003853EA">
      <w:pPr>
        <w:pStyle w:val="BodyText"/>
        <w:ind w:left="0"/>
        <w:rPr>
          <w:lang w:val="en-GB"/>
        </w:rPr>
      </w:pPr>
    </w:p>
    <w:p w14:paraId="03DB919F" w14:textId="752762E6" w:rsidR="00D15CE3" w:rsidRPr="007F2A01" w:rsidRDefault="00D15CE3" w:rsidP="00B45109">
      <w:pPr>
        <w:widowControl/>
        <w:rPr>
          <w:b/>
          <w:lang w:val="en-GB"/>
        </w:rPr>
        <w:sectPr w:rsidR="00D15CE3" w:rsidRPr="007F2A01" w:rsidSect="007F2A01">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134" w:right="1134" w:bottom="1134" w:left="1134" w:header="426" w:footer="510" w:gutter="0"/>
          <w:pgNumType w:start="1"/>
          <w:cols w:space="720"/>
          <w:titlePg/>
        </w:sectPr>
      </w:pPr>
      <w:r w:rsidRPr="007F2A01">
        <w:rPr>
          <w:b/>
          <w:lang w:val="en-GB"/>
        </w:rPr>
        <w:t>Dated:</w:t>
      </w:r>
      <w:r w:rsidR="0044516C" w:rsidRPr="007F2A01">
        <w:rPr>
          <w:b/>
          <w:lang w:val="en-GB"/>
        </w:rPr>
        <w:t xml:space="preserve"> </w:t>
      </w:r>
      <w:r w:rsidR="00C50CF9">
        <w:rPr>
          <w:b/>
          <w:lang w:val="en-GB"/>
        </w:rPr>
        <w:t>13 November</w:t>
      </w:r>
      <w:r w:rsidRPr="007F2A01">
        <w:rPr>
          <w:b/>
          <w:lang w:val="en-GB"/>
        </w:rPr>
        <w:t xml:space="preserve"> 2024</w:t>
      </w:r>
    </w:p>
    <w:p w14:paraId="46B7EBE5" w14:textId="77777777" w:rsidR="00562746" w:rsidRPr="007F2A01" w:rsidRDefault="00562746" w:rsidP="00324121">
      <w:pPr>
        <w:widowControl/>
        <w:spacing w:before="80"/>
        <w:rPr>
          <w:b/>
          <w:lang w:val="en-GB"/>
        </w:rPr>
        <w:sectPr w:rsidR="00562746" w:rsidRPr="007F2A01" w:rsidSect="003853EA">
          <w:headerReference w:type="even" r:id="rId14"/>
          <w:headerReference w:type="default" r:id="rId15"/>
          <w:footerReference w:type="even" r:id="rId16"/>
          <w:footerReference w:type="default" r:id="rId17"/>
          <w:headerReference w:type="first" r:id="rId18"/>
          <w:footerReference w:type="first" r:id="rId19"/>
          <w:type w:val="continuous"/>
          <w:pgSz w:w="11910" w:h="16840" w:code="9"/>
          <w:pgMar w:top="1134" w:right="1134" w:bottom="1134" w:left="1134" w:header="0" w:footer="520" w:gutter="0"/>
          <w:cols w:space="720"/>
        </w:sectPr>
      </w:pPr>
    </w:p>
    <w:p w14:paraId="3E80A5D9" w14:textId="22558ABB" w:rsidR="00D15CE3" w:rsidRPr="007F2A01" w:rsidRDefault="00D15CE3" w:rsidP="00562746">
      <w:pPr>
        <w:widowControl/>
        <w:rPr>
          <w:b/>
          <w:lang w:val="en-GB"/>
        </w:rPr>
      </w:pPr>
      <w:r w:rsidRPr="007F2A01">
        <w:rPr>
          <w:b/>
          <w:lang w:val="en-GB"/>
        </w:rPr>
        <w:lastRenderedPageBreak/>
        <w:t>DIRECTORY</w:t>
      </w:r>
    </w:p>
    <w:p w14:paraId="6AD47368" w14:textId="77777777" w:rsidR="00D15CE3" w:rsidRPr="007F2A01" w:rsidRDefault="00D15CE3" w:rsidP="00770F75">
      <w:pPr>
        <w:widowControl/>
        <w:rPr>
          <w:lang w:val="en-GB"/>
        </w:rPr>
      </w:pPr>
    </w:p>
    <w:p w14:paraId="2E55F421" w14:textId="0609B4A9" w:rsidR="00783110" w:rsidRPr="007F2A01" w:rsidRDefault="009F138B">
      <w:pPr>
        <w:pStyle w:val="TOC1"/>
        <w:rPr>
          <w:rFonts w:asciiTheme="minorHAnsi" w:hAnsiTheme="minorHAnsi"/>
          <w:kern w:val="2"/>
          <w:sz w:val="24"/>
          <w:lang w:val="en-GB"/>
          <w14:ligatures w14:val="standardContextual"/>
        </w:rPr>
      </w:pPr>
      <w:r w:rsidRPr="007F2A01">
        <w:rPr>
          <w:rStyle w:val="Hyperlink"/>
          <w:color w:val="auto"/>
          <w:spacing w:val="-2"/>
          <w:u w:val="none"/>
          <w:lang w:val="en-GB"/>
        </w:rPr>
        <w:t>1.</w:t>
      </w:r>
      <w:r w:rsidRPr="007F2A01">
        <w:rPr>
          <w:rFonts w:asciiTheme="minorHAnsi" w:hAnsiTheme="minorHAnsi"/>
          <w:kern w:val="2"/>
          <w:sz w:val="24"/>
          <w:lang w:val="en-GB"/>
          <w14:ligatures w14:val="standardContextual"/>
        </w:rPr>
        <w:tab/>
      </w:r>
      <w:r w:rsidRPr="007F2A01">
        <w:rPr>
          <w:rStyle w:val="Hyperlink"/>
          <w:color w:val="auto"/>
          <w:u w:val="none"/>
          <w:lang w:val="en-GB"/>
        </w:rPr>
        <w:t>INVESTMENT OBJECTIVE AND POLICIES</w:t>
      </w:r>
      <w:r w:rsidRPr="007F2A01">
        <w:rPr>
          <w:webHidden/>
          <w:lang w:val="en-GB"/>
        </w:rPr>
        <w:tab/>
        <w:t>3</w:t>
      </w:r>
    </w:p>
    <w:p w14:paraId="32836065"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2.</w:t>
      </w:r>
      <w:r w:rsidRPr="007F2A01">
        <w:rPr>
          <w:rFonts w:asciiTheme="minorHAnsi" w:hAnsiTheme="minorHAnsi"/>
          <w:kern w:val="2"/>
          <w:sz w:val="24"/>
          <w:lang w:val="en-GB"/>
          <w14:ligatures w14:val="standardContextual"/>
        </w:rPr>
        <w:tab/>
      </w:r>
      <w:r w:rsidRPr="007F2A01">
        <w:rPr>
          <w:rStyle w:val="Hyperlink"/>
          <w:color w:val="auto"/>
          <w:u w:val="none"/>
          <w:lang w:val="en-GB"/>
        </w:rPr>
        <w:t>INVESTMENT SELECTION</w:t>
      </w:r>
      <w:r w:rsidRPr="007F2A01">
        <w:rPr>
          <w:webHidden/>
          <w:lang w:val="en-GB"/>
        </w:rPr>
        <w:tab/>
        <w:t>4</w:t>
      </w:r>
    </w:p>
    <w:p w14:paraId="7515C453"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3.</w:t>
      </w:r>
      <w:r w:rsidRPr="007F2A01">
        <w:rPr>
          <w:rFonts w:asciiTheme="minorHAnsi" w:hAnsiTheme="minorHAnsi"/>
          <w:kern w:val="2"/>
          <w:sz w:val="24"/>
          <w:lang w:val="en-GB"/>
          <w14:ligatures w14:val="standardContextual"/>
        </w:rPr>
        <w:tab/>
      </w:r>
      <w:r w:rsidRPr="007F2A01">
        <w:rPr>
          <w:rStyle w:val="Hyperlink"/>
          <w:color w:val="auto"/>
          <w:u w:val="none"/>
          <w:lang w:val="en-GB"/>
        </w:rPr>
        <w:t>BORROWING</w:t>
      </w:r>
      <w:r w:rsidRPr="007F2A01">
        <w:rPr>
          <w:webHidden/>
          <w:lang w:val="en-GB"/>
        </w:rPr>
        <w:tab/>
        <w:t>4</w:t>
      </w:r>
    </w:p>
    <w:p w14:paraId="5F19A8D9"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4.</w:t>
      </w:r>
      <w:r w:rsidRPr="007F2A01">
        <w:rPr>
          <w:rFonts w:asciiTheme="minorHAnsi" w:hAnsiTheme="minorHAnsi"/>
          <w:kern w:val="2"/>
          <w:sz w:val="24"/>
          <w:lang w:val="en-GB"/>
          <w14:ligatures w14:val="standardContextual"/>
        </w:rPr>
        <w:tab/>
      </w:r>
      <w:r w:rsidRPr="007F2A01">
        <w:rPr>
          <w:rStyle w:val="Hyperlink"/>
          <w:color w:val="auto"/>
          <w:u w:val="none"/>
          <w:lang w:val="en-GB"/>
        </w:rPr>
        <w:t>LEVERAGE AND GLOBAL EXPOSURE</w:t>
      </w:r>
      <w:r w:rsidRPr="007F2A01">
        <w:rPr>
          <w:webHidden/>
          <w:lang w:val="en-GB"/>
        </w:rPr>
        <w:tab/>
        <w:t>4</w:t>
      </w:r>
    </w:p>
    <w:p w14:paraId="766F810B"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5.</w:t>
      </w:r>
      <w:r w:rsidRPr="007F2A01">
        <w:rPr>
          <w:rFonts w:asciiTheme="minorHAnsi" w:hAnsiTheme="minorHAnsi"/>
          <w:kern w:val="2"/>
          <w:sz w:val="24"/>
          <w:lang w:val="en-GB"/>
          <w14:ligatures w14:val="standardContextual"/>
        </w:rPr>
        <w:tab/>
      </w:r>
      <w:r w:rsidRPr="007F2A01">
        <w:rPr>
          <w:rStyle w:val="Hyperlink"/>
          <w:color w:val="auto"/>
          <w:u w:val="none"/>
          <w:lang w:val="en-GB"/>
        </w:rPr>
        <w:t>INVESTMENT RESTRICTIONS</w:t>
      </w:r>
      <w:r w:rsidRPr="007F2A01">
        <w:rPr>
          <w:webHidden/>
          <w:lang w:val="en-GB"/>
        </w:rPr>
        <w:tab/>
        <w:t>5</w:t>
      </w:r>
    </w:p>
    <w:p w14:paraId="2EB678A3"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6.</w:t>
      </w:r>
      <w:r w:rsidRPr="007F2A01">
        <w:rPr>
          <w:rFonts w:asciiTheme="minorHAnsi" w:hAnsiTheme="minorHAnsi"/>
          <w:kern w:val="2"/>
          <w:sz w:val="24"/>
          <w:lang w:val="en-GB"/>
          <w14:ligatures w14:val="standardContextual"/>
        </w:rPr>
        <w:tab/>
      </w:r>
      <w:r w:rsidRPr="007F2A01">
        <w:rPr>
          <w:rStyle w:val="Hyperlink"/>
          <w:color w:val="auto"/>
          <w:u w:val="none"/>
          <w:lang w:val="en-GB"/>
        </w:rPr>
        <w:t>INVESTMENT MANAGER</w:t>
      </w:r>
      <w:r w:rsidRPr="007F2A01">
        <w:rPr>
          <w:webHidden/>
          <w:lang w:val="en-GB"/>
        </w:rPr>
        <w:tab/>
        <w:t>5</w:t>
      </w:r>
    </w:p>
    <w:p w14:paraId="293EBF96"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7.</w:t>
      </w:r>
      <w:r w:rsidRPr="007F2A01">
        <w:rPr>
          <w:rFonts w:asciiTheme="minorHAnsi" w:hAnsiTheme="minorHAnsi"/>
          <w:kern w:val="2"/>
          <w:sz w:val="24"/>
          <w:lang w:val="en-GB"/>
          <w14:ligatures w14:val="standardContextual"/>
        </w:rPr>
        <w:tab/>
      </w:r>
      <w:r w:rsidRPr="007F2A01">
        <w:rPr>
          <w:rStyle w:val="Hyperlink"/>
          <w:color w:val="auto"/>
          <w:u w:val="none"/>
          <w:lang w:val="en-GB"/>
        </w:rPr>
        <w:t>RISK FACTORS</w:t>
      </w:r>
      <w:r w:rsidRPr="007F2A01">
        <w:rPr>
          <w:webHidden/>
          <w:lang w:val="en-GB"/>
        </w:rPr>
        <w:tab/>
        <w:t>5</w:t>
      </w:r>
    </w:p>
    <w:p w14:paraId="6748A413"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8.</w:t>
      </w:r>
      <w:r w:rsidRPr="007F2A01">
        <w:rPr>
          <w:rFonts w:asciiTheme="minorHAnsi" w:hAnsiTheme="minorHAnsi"/>
          <w:kern w:val="2"/>
          <w:sz w:val="24"/>
          <w:lang w:val="en-GB"/>
          <w14:ligatures w14:val="standardContextual"/>
        </w:rPr>
        <w:tab/>
      </w:r>
      <w:r w:rsidRPr="007F2A01">
        <w:rPr>
          <w:rStyle w:val="Hyperlink"/>
          <w:color w:val="auto"/>
          <w:u w:val="none"/>
          <w:lang w:val="en-GB"/>
        </w:rPr>
        <w:t>DIVIDEND POLICY</w:t>
      </w:r>
      <w:r w:rsidRPr="007F2A01">
        <w:rPr>
          <w:webHidden/>
          <w:lang w:val="en-GB"/>
        </w:rPr>
        <w:tab/>
        <w:t>5</w:t>
      </w:r>
    </w:p>
    <w:p w14:paraId="68CB4AC9"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9.</w:t>
      </w:r>
      <w:r w:rsidRPr="007F2A01">
        <w:rPr>
          <w:rFonts w:asciiTheme="minorHAnsi" w:hAnsiTheme="minorHAnsi"/>
          <w:kern w:val="2"/>
          <w:sz w:val="24"/>
          <w:lang w:val="en-GB"/>
          <w14:ligatures w14:val="standardContextual"/>
        </w:rPr>
        <w:tab/>
      </w:r>
      <w:r w:rsidRPr="007F2A01">
        <w:rPr>
          <w:rStyle w:val="Hyperlink"/>
          <w:color w:val="auto"/>
          <w:u w:val="none"/>
          <w:lang w:val="en-GB"/>
        </w:rPr>
        <w:t>TAX STATUS</w:t>
      </w:r>
      <w:r w:rsidRPr="007F2A01">
        <w:rPr>
          <w:webHidden/>
          <w:lang w:val="en-GB"/>
        </w:rPr>
        <w:tab/>
        <w:t>5</w:t>
      </w:r>
    </w:p>
    <w:p w14:paraId="5A00F1B6"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10.</w:t>
      </w:r>
      <w:r w:rsidRPr="007F2A01">
        <w:rPr>
          <w:rFonts w:asciiTheme="minorHAnsi" w:hAnsiTheme="minorHAnsi"/>
          <w:kern w:val="2"/>
          <w:sz w:val="24"/>
          <w:lang w:val="en-GB"/>
          <w14:ligatures w14:val="standardContextual"/>
        </w:rPr>
        <w:tab/>
      </w:r>
      <w:r w:rsidRPr="007F2A01">
        <w:rPr>
          <w:rStyle w:val="Hyperlink"/>
          <w:color w:val="auto"/>
          <w:u w:val="none"/>
          <w:lang w:val="en-GB"/>
        </w:rPr>
        <w:t>KEY INFORMATION FOR SUBSCRIBING AND REDEEMING</w:t>
      </w:r>
      <w:r w:rsidRPr="007F2A01">
        <w:rPr>
          <w:webHidden/>
          <w:lang w:val="en-GB"/>
        </w:rPr>
        <w:tab/>
        <w:t>5</w:t>
      </w:r>
    </w:p>
    <w:p w14:paraId="7145B426"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11.</w:t>
      </w:r>
      <w:r w:rsidRPr="007F2A01">
        <w:rPr>
          <w:rFonts w:asciiTheme="minorHAnsi" w:hAnsiTheme="minorHAnsi"/>
          <w:kern w:val="2"/>
          <w:sz w:val="24"/>
          <w:lang w:val="en-GB"/>
          <w14:ligatures w14:val="standardContextual"/>
        </w:rPr>
        <w:tab/>
      </w:r>
      <w:r w:rsidRPr="007F2A01">
        <w:rPr>
          <w:rStyle w:val="Hyperlink"/>
          <w:color w:val="auto"/>
          <w:u w:val="none"/>
          <w:lang w:val="en-GB"/>
        </w:rPr>
        <w:t>HOW TO SUBSCRIBE FOR SHARES</w:t>
      </w:r>
      <w:r w:rsidRPr="007F2A01">
        <w:rPr>
          <w:webHidden/>
          <w:lang w:val="en-GB"/>
        </w:rPr>
        <w:tab/>
        <w:t>9</w:t>
      </w:r>
    </w:p>
    <w:p w14:paraId="1A1CF843"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12.</w:t>
      </w:r>
      <w:r w:rsidRPr="007F2A01">
        <w:rPr>
          <w:rFonts w:asciiTheme="minorHAnsi" w:hAnsiTheme="minorHAnsi"/>
          <w:kern w:val="2"/>
          <w:sz w:val="24"/>
          <w:lang w:val="en-GB"/>
          <w14:ligatures w14:val="standardContextual"/>
        </w:rPr>
        <w:tab/>
      </w:r>
      <w:r w:rsidRPr="007F2A01">
        <w:rPr>
          <w:rStyle w:val="Hyperlink"/>
          <w:color w:val="auto"/>
          <w:u w:val="none"/>
          <w:lang w:val="en-GB"/>
        </w:rPr>
        <w:t>HOW TO REDEEM SHARES</w:t>
      </w:r>
      <w:r w:rsidRPr="007F2A01">
        <w:rPr>
          <w:webHidden/>
          <w:lang w:val="en-GB"/>
        </w:rPr>
        <w:tab/>
        <w:t>9</w:t>
      </w:r>
    </w:p>
    <w:p w14:paraId="646CEFE4"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13.</w:t>
      </w:r>
      <w:r w:rsidRPr="007F2A01">
        <w:rPr>
          <w:rFonts w:asciiTheme="minorHAnsi" w:hAnsiTheme="minorHAnsi"/>
          <w:kern w:val="2"/>
          <w:sz w:val="24"/>
          <w:lang w:val="en-GB"/>
          <w14:ligatures w14:val="standardContextual"/>
        </w:rPr>
        <w:tab/>
      </w:r>
      <w:r w:rsidRPr="007F2A01">
        <w:rPr>
          <w:rStyle w:val="Hyperlink"/>
          <w:color w:val="auto"/>
          <w:u w:val="none"/>
          <w:lang w:val="en-GB"/>
        </w:rPr>
        <w:t>ANTI-MONEY LAUNDERING</w:t>
      </w:r>
      <w:r w:rsidRPr="007F2A01">
        <w:rPr>
          <w:webHidden/>
          <w:lang w:val="en-GB"/>
        </w:rPr>
        <w:tab/>
        <w:t>9</w:t>
      </w:r>
    </w:p>
    <w:p w14:paraId="423BD798"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14.</w:t>
      </w:r>
      <w:r w:rsidRPr="007F2A01">
        <w:rPr>
          <w:rFonts w:asciiTheme="minorHAnsi" w:hAnsiTheme="minorHAnsi"/>
          <w:kern w:val="2"/>
          <w:sz w:val="24"/>
          <w:lang w:val="en-GB"/>
          <w14:ligatures w14:val="standardContextual"/>
        </w:rPr>
        <w:tab/>
      </w:r>
      <w:r w:rsidRPr="007F2A01">
        <w:rPr>
          <w:rStyle w:val="Hyperlink"/>
          <w:color w:val="auto"/>
          <w:u w:val="none"/>
          <w:lang w:val="en-GB"/>
        </w:rPr>
        <w:t>FEES AND EXPENSES</w:t>
      </w:r>
      <w:r w:rsidRPr="007F2A01">
        <w:rPr>
          <w:webHidden/>
          <w:lang w:val="en-GB"/>
        </w:rPr>
        <w:tab/>
        <w:t>9</w:t>
      </w:r>
    </w:p>
    <w:p w14:paraId="0CCAACED" w14:textId="77777777" w:rsidR="00783110" w:rsidRPr="007F2A01" w:rsidRDefault="00A746D5">
      <w:pPr>
        <w:pStyle w:val="TOC1"/>
        <w:rPr>
          <w:rFonts w:asciiTheme="minorHAnsi" w:hAnsiTheme="minorHAnsi"/>
          <w:kern w:val="2"/>
          <w:sz w:val="24"/>
          <w:lang w:val="en-GB"/>
          <w14:ligatures w14:val="standardContextual"/>
        </w:rPr>
      </w:pPr>
      <w:r w:rsidRPr="007F2A01">
        <w:rPr>
          <w:rStyle w:val="Hyperlink"/>
          <w:color w:val="auto"/>
          <w:spacing w:val="-2"/>
          <w:u w:val="none"/>
          <w:lang w:val="en-GB"/>
        </w:rPr>
        <w:t>15.</w:t>
      </w:r>
      <w:r w:rsidRPr="007F2A01">
        <w:rPr>
          <w:rFonts w:asciiTheme="minorHAnsi" w:hAnsiTheme="minorHAnsi"/>
          <w:kern w:val="2"/>
          <w:sz w:val="24"/>
          <w:lang w:val="en-GB"/>
          <w14:ligatures w14:val="standardContextual"/>
        </w:rPr>
        <w:tab/>
      </w:r>
      <w:r w:rsidRPr="007F2A01">
        <w:rPr>
          <w:rStyle w:val="Hyperlink"/>
          <w:color w:val="auto"/>
          <w:u w:val="none"/>
          <w:lang w:val="en-GB"/>
        </w:rPr>
        <w:t>MISCELLANEOUS</w:t>
      </w:r>
      <w:r w:rsidRPr="007F2A01">
        <w:rPr>
          <w:webHidden/>
          <w:lang w:val="en-GB"/>
        </w:rPr>
        <w:tab/>
        <w:t>10</w:t>
      </w:r>
    </w:p>
    <w:p w14:paraId="5658B73E" w14:textId="77777777" w:rsidR="007F5638" w:rsidRPr="007F2A01" w:rsidRDefault="007F5638">
      <w:pPr>
        <w:widowControl/>
        <w:autoSpaceDE/>
        <w:autoSpaceDN/>
        <w:jc w:val="left"/>
        <w:rPr>
          <w:lang w:val="en-GB"/>
        </w:rPr>
      </w:pPr>
      <w:r w:rsidRPr="007F2A01">
        <w:rPr>
          <w:lang w:val="en-GB"/>
        </w:rPr>
        <w:br w:type="page"/>
      </w:r>
    </w:p>
    <w:p w14:paraId="247AB9BD" w14:textId="77777777" w:rsidR="009F138B" w:rsidRPr="007F2A01" w:rsidRDefault="009F138B" w:rsidP="00324121">
      <w:pPr>
        <w:widowControl/>
        <w:ind w:hanging="960"/>
        <w:rPr>
          <w:lang w:val="en-GB"/>
        </w:rPr>
        <w:sectPr w:rsidR="009F138B" w:rsidRPr="007F2A01" w:rsidSect="003853EA">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1134" w:left="1134" w:header="0" w:footer="520" w:gutter="0"/>
          <w:cols w:space="720"/>
        </w:sectPr>
      </w:pPr>
    </w:p>
    <w:p w14:paraId="0D99BF0C" w14:textId="4CD018A6" w:rsidR="000C15C3" w:rsidRPr="007F2A01" w:rsidRDefault="00381844" w:rsidP="00770F75">
      <w:pPr>
        <w:pStyle w:val="ListParagraph"/>
        <w:rPr>
          <w:lang w:val="en-GB"/>
        </w:rPr>
      </w:pPr>
      <w:bookmarkStart w:id="1" w:name="_bookmark0"/>
      <w:bookmarkStart w:id="2" w:name="_Toc98335004"/>
      <w:bookmarkStart w:id="3" w:name="_Toc172121785"/>
      <w:bookmarkEnd w:id="1"/>
      <w:r w:rsidRPr="007F2A01">
        <w:rPr>
          <w:lang w:val="en-GB"/>
        </w:rPr>
        <w:lastRenderedPageBreak/>
        <w:t>INVESTMENT OBJECTIVE AND POLICIES</w:t>
      </w:r>
      <w:bookmarkEnd w:id="2"/>
      <w:bookmarkEnd w:id="3"/>
      <w:r w:rsidRPr="007F2A01">
        <w:rPr>
          <w:lang w:val="en-GB"/>
        </w:rPr>
        <w:t xml:space="preserve"> </w:t>
      </w:r>
    </w:p>
    <w:p w14:paraId="0FFECA12" w14:textId="3D68E02C" w:rsidR="000C15C3" w:rsidRPr="007F2A01" w:rsidRDefault="000C15C3" w:rsidP="00770F75">
      <w:pPr>
        <w:widowControl/>
        <w:ind w:firstLine="567"/>
        <w:rPr>
          <w:b/>
          <w:lang w:val="en-GB"/>
        </w:rPr>
      </w:pPr>
      <w:r w:rsidRPr="007F2A01">
        <w:rPr>
          <w:b/>
          <w:lang w:val="en-GB"/>
        </w:rPr>
        <w:t>Investment Objective</w:t>
      </w:r>
    </w:p>
    <w:p w14:paraId="650E1858" w14:textId="77777777" w:rsidR="00426DCE" w:rsidRPr="007F2A01" w:rsidRDefault="00426DCE" w:rsidP="003853EA">
      <w:pPr>
        <w:widowControl/>
        <w:rPr>
          <w:color w:val="000000"/>
          <w:lang w:val="en-GB"/>
        </w:rPr>
      </w:pPr>
    </w:p>
    <w:p w14:paraId="7D3A9505" w14:textId="4DB236E8" w:rsidR="00047BA6" w:rsidRPr="007F2A01" w:rsidRDefault="00381844" w:rsidP="00770F75">
      <w:pPr>
        <w:pStyle w:val="BodyText"/>
        <w:rPr>
          <w:lang w:val="en-GB"/>
        </w:rPr>
      </w:pPr>
      <w:r w:rsidRPr="007F2A01">
        <w:rPr>
          <w:lang w:val="en-GB"/>
        </w:rPr>
        <w:t xml:space="preserve">The Fund’s investment objective is to provide its </w:t>
      </w:r>
      <w:r w:rsidR="002368BA" w:rsidRPr="007F2A01">
        <w:rPr>
          <w:lang w:val="en-GB"/>
        </w:rPr>
        <w:t>i</w:t>
      </w:r>
      <w:r w:rsidRPr="007F2A01">
        <w:rPr>
          <w:lang w:val="en-GB"/>
        </w:rPr>
        <w:t xml:space="preserve">nvestors with a return </w:t>
      </w:r>
      <w:r w:rsidR="009A51CA" w:rsidRPr="007F2A01">
        <w:rPr>
          <w:lang w:val="en-GB"/>
        </w:rPr>
        <w:t xml:space="preserve">which aims to </w:t>
      </w:r>
      <w:r w:rsidR="001C7594" w:rsidRPr="007F2A01">
        <w:rPr>
          <w:lang w:val="en-GB"/>
        </w:rPr>
        <w:t xml:space="preserve">achieve long term capital growth for investors over a 3 – 5 year investment horizon </w:t>
      </w:r>
      <w:r w:rsidRPr="007F2A01">
        <w:rPr>
          <w:lang w:val="en-GB"/>
        </w:rPr>
        <w:t xml:space="preserve">by focusing on </w:t>
      </w:r>
      <w:r w:rsidR="00B5528C" w:rsidRPr="007F2A01">
        <w:rPr>
          <w:lang w:val="en-GB"/>
        </w:rPr>
        <w:t>g</w:t>
      </w:r>
      <w:r w:rsidRPr="007F2A01">
        <w:rPr>
          <w:lang w:val="en-GB"/>
        </w:rPr>
        <w:t xml:space="preserve">lobal </w:t>
      </w:r>
      <w:r w:rsidR="00B5528C" w:rsidRPr="007F2A01">
        <w:rPr>
          <w:lang w:val="en-GB"/>
        </w:rPr>
        <w:t>t</w:t>
      </w:r>
      <w:r w:rsidRPr="007F2A01">
        <w:rPr>
          <w:lang w:val="en-GB"/>
        </w:rPr>
        <w:t xml:space="preserve">hematic </w:t>
      </w:r>
      <w:r w:rsidR="00B5528C" w:rsidRPr="007F2A01">
        <w:rPr>
          <w:lang w:val="en-GB"/>
        </w:rPr>
        <w:t>o</w:t>
      </w:r>
      <w:r w:rsidRPr="007F2A01">
        <w:rPr>
          <w:lang w:val="en-GB"/>
        </w:rPr>
        <w:t>pportunities</w:t>
      </w:r>
      <w:r w:rsidR="00426DCE" w:rsidRPr="007F2A01">
        <w:rPr>
          <w:lang w:val="en-GB"/>
        </w:rPr>
        <w:t xml:space="preserve"> th</w:t>
      </w:r>
      <w:r w:rsidR="002F7942" w:rsidRPr="007F2A01">
        <w:rPr>
          <w:lang w:val="en-GB"/>
        </w:rPr>
        <w:t>at</w:t>
      </w:r>
      <w:r w:rsidR="00426DCE" w:rsidRPr="007F2A01">
        <w:rPr>
          <w:lang w:val="en-GB"/>
        </w:rPr>
        <w:t xml:space="preserve"> </w:t>
      </w:r>
      <w:r w:rsidR="00447CFA" w:rsidRPr="007F2A01">
        <w:rPr>
          <w:lang w:val="en-GB"/>
        </w:rPr>
        <w:t xml:space="preserve">seek to </w:t>
      </w:r>
      <w:r w:rsidR="00426DCE" w:rsidRPr="007F2A01">
        <w:rPr>
          <w:lang w:val="en-GB"/>
        </w:rPr>
        <w:t xml:space="preserve">exploit </w:t>
      </w:r>
      <w:r w:rsidR="00047BA6" w:rsidRPr="007F2A01">
        <w:rPr>
          <w:lang w:val="en-GB"/>
        </w:rPr>
        <w:t xml:space="preserve">short term trends and </w:t>
      </w:r>
      <w:r w:rsidR="00426DCE" w:rsidRPr="007F2A01">
        <w:rPr>
          <w:lang w:val="en-GB"/>
        </w:rPr>
        <w:t xml:space="preserve">long term themes </w:t>
      </w:r>
      <w:r w:rsidR="00447CFA" w:rsidRPr="007F2A01">
        <w:rPr>
          <w:lang w:val="en-GB"/>
        </w:rPr>
        <w:t>arising from</w:t>
      </w:r>
      <w:r w:rsidR="009A51CA" w:rsidRPr="007F2A01">
        <w:rPr>
          <w:lang w:val="en-GB"/>
        </w:rPr>
        <w:t>,</w:t>
      </w:r>
      <w:r w:rsidR="00D06D84" w:rsidRPr="007F2A01">
        <w:rPr>
          <w:lang w:val="en-GB"/>
        </w:rPr>
        <w:t xml:space="preserve"> but not limited to</w:t>
      </w:r>
      <w:r w:rsidR="00047BA6" w:rsidRPr="007F2A01">
        <w:rPr>
          <w:lang w:val="en-GB"/>
        </w:rPr>
        <w:t>:</w:t>
      </w:r>
      <w:r w:rsidR="009A51CA" w:rsidRPr="007F2A01">
        <w:rPr>
          <w:lang w:val="en-GB"/>
        </w:rPr>
        <w:t xml:space="preserve"> </w:t>
      </w:r>
    </w:p>
    <w:p w14:paraId="72C164A7" w14:textId="77777777" w:rsidR="004146D0" w:rsidRPr="007F2A01" w:rsidRDefault="004146D0" w:rsidP="00770F75">
      <w:pPr>
        <w:pStyle w:val="BodyText"/>
        <w:rPr>
          <w:lang w:val="en-GB"/>
        </w:rPr>
      </w:pPr>
    </w:p>
    <w:p w14:paraId="38C88057" w14:textId="56AB7AFD" w:rsidR="00047BA6" w:rsidRPr="007F2A01" w:rsidRDefault="002F4183" w:rsidP="00770F75">
      <w:pPr>
        <w:pStyle w:val="BodyText"/>
        <w:numPr>
          <w:ilvl w:val="0"/>
          <w:numId w:val="8"/>
        </w:numPr>
        <w:rPr>
          <w:lang w:val="en-GB"/>
        </w:rPr>
      </w:pPr>
      <w:r w:rsidRPr="007F2A01">
        <w:rPr>
          <w:lang w:val="en-GB"/>
        </w:rPr>
        <w:t>a growing Asian population</w:t>
      </w:r>
      <w:r w:rsidR="00047BA6" w:rsidRPr="007F2A01">
        <w:rPr>
          <w:lang w:val="en-GB"/>
        </w:rPr>
        <w:t>;</w:t>
      </w:r>
      <w:r w:rsidR="00B5528C" w:rsidRPr="007F2A01">
        <w:rPr>
          <w:lang w:val="en-GB"/>
        </w:rPr>
        <w:t xml:space="preserve"> </w:t>
      </w:r>
    </w:p>
    <w:p w14:paraId="636C68E4" w14:textId="3E253713" w:rsidR="00047BA6" w:rsidRPr="007F2A01" w:rsidRDefault="00047BA6" w:rsidP="00770F75">
      <w:pPr>
        <w:pStyle w:val="BodyText"/>
        <w:numPr>
          <w:ilvl w:val="0"/>
          <w:numId w:val="8"/>
        </w:numPr>
        <w:rPr>
          <w:lang w:val="en-GB"/>
        </w:rPr>
      </w:pPr>
      <w:r w:rsidRPr="007F2A01">
        <w:rPr>
          <w:lang w:val="en-GB"/>
        </w:rPr>
        <w:t xml:space="preserve">the growing importance of </w:t>
      </w:r>
      <w:r w:rsidR="00426DCE" w:rsidRPr="007F2A01">
        <w:rPr>
          <w:lang w:val="en-GB"/>
        </w:rPr>
        <w:t>cyber security</w:t>
      </w:r>
      <w:r w:rsidRPr="007F2A01">
        <w:rPr>
          <w:lang w:val="en-GB"/>
        </w:rPr>
        <w:t xml:space="preserve"> to all sectors of the economy;</w:t>
      </w:r>
    </w:p>
    <w:p w14:paraId="29DD6995" w14:textId="7AFD8A83" w:rsidR="00047BA6" w:rsidRPr="007F2A01" w:rsidRDefault="00426DCE" w:rsidP="00770F75">
      <w:pPr>
        <w:pStyle w:val="BodyText"/>
        <w:numPr>
          <w:ilvl w:val="0"/>
          <w:numId w:val="8"/>
        </w:numPr>
        <w:rPr>
          <w:lang w:val="en-GB"/>
        </w:rPr>
      </w:pPr>
      <w:r w:rsidRPr="007F2A01">
        <w:rPr>
          <w:lang w:val="en-GB"/>
        </w:rPr>
        <w:t>biotechnology</w:t>
      </w:r>
      <w:r w:rsidR="00047BA6" w:rsidRPr="007F2A01">
        <w:rPr>
          <w:lang w:val="en-GB"/>
        </w:rPr>
        <w:t>;</w:t>
      </w:r>
      <w:r w:rsidRPr="007F2A01">
        <w:rPr>
          <w:lang w:val="en-GB"/>
        </w:rPr>
        <w:t xml:space="preserve"> </w:t>
      </w:r>
    </w:p>
    <w:p w14:paraId="5B7F8BB7" w14:textId="3BBB67F5" w:rsidR="00047BA6" w:rsidRPr="007F2A01" w:rsidRDefault="00426DCE" w:rsidP="00770F75">
      <w:pPr>
        <w:pStyle w:val="BodyText"/>
        <w:numPr>
          <w:ilvl w:val="0"/>
          <w:numId w:val="8"/>
        </w:numPr>
        <w:rPr>
          <w:lang w:val="en-GB"/>
        </w:rPr>
      </w:pPr>
      <w:r w:rsidRPr="007F2A01">
        <w:rPr>
          <w:lang w:val="en-GB"/>
        </w:rPr>
        <w:t>healthcare</w:t>
      </w:r>
      <w:r w:rsidR="00047BA6" w:rsidRPr="007F2A01">
        <w:rPr>
          <w:lang w:val="en-GB"/>
        </w:rPr>
        <w:t>;</w:t>
      </w:r>
    </w:p>
    <w:p w14:paraId="287A311E" w14:textId="2CC84502" w:rsidR="00047BA6" w:rsidRPr="007F2A01" w:rsidRDefault="00426DCE" w:rsidP="00770F75">
      <w:pPr>
        <w:pStyle w:val="BodyText"/>
        <w:numPr>
          <w:ilvl w:val="0"/>
          <w:numId w:val="8"/>
        </w:numPr>
        <w:rPr>
          <w:lang w:val="en-GB"/>
        </w:rPr>
      </w:pPr>
      <w:r w:rsidRPr="007F2A01">
        <w:rPr>
          <w:lang w:val="en-GB"/>
        </w:rPr>
        <w:t>eCommerce in emerging markets</w:t>
      </w:r>
      <w:r w:rsidR="00047BA6" w:rsidRPr="007F2A01">
        <w:rPr>
          <w:lang w:val="en-GB"/>
        </w:rPr>
        <w:t>;</w:t>
      </w:r>
    </w:p>
    <w:p w14:paraId="0FCEDEE8" w14:textId="20B93F68" w:rsidR="00047BA6" w:rsidRPr="007F2A01" w:rsidRDefault="00426DCE" w:rsidP="00770F75">
      <w:pPr>
        <w:pStyle w:val="BodyText"/>
        <w:numPr>
          <w:ilvl w:val="0"/>
          <w:numId w:val="8"/>
        </w:numPr>
        <w:rPr>
          <w:lang w:val="en-GB"/>
        </w:rPr>
      </w:pPr>
      <w:r w:rsidRPr="007F2A01">
        <w:rPr>
          <w:lang w:val="en-GB"/>
        </w:rPr>
        <w:t>cloud infrastructure</w:t>
      </w:r>
      <w:r w:rsidR="00047BA6" w:rsidRPr="007F2A01">
        <w:rPr>
          <w:lang w:val="en-GB"/>
        </w:rPr>
        <w:t>;</w:t>
      </w:r>
    </w:p>
    <w:p w14:paraId="4C087149" w14:textId="493AD6A4" w:rsidR="00047BA6" w:rsidRPr="007F2A01" w:rsidRDefault="00426DCE" w:rsidP="00770F75">
      <w:pPr>
        <w:pStyle w:val="BodyText"/>
        <w:numPr>
          <w:ilvl w:val="0"/>
          <w:numId w:val="8"/>
        </w:numPr>
        <w:rPr>
          <w:lang w:val="en-GB"/>
        </w:rPr>
      </w:pPr>
      <w:r w:rsidRPr="007F2A01">
        <w:rPr>
          <w:lang w:val="en-GB"/>
        </w:rPr>
        <w:t>blockchain technology</w:t>
      </w:r>
      <w:r w:rsidR="00B06B79" w:rsidRPr="007F2A01">
        <w:rPr>
          <w:lang w:val="en-GB"/>
        </w:rPr>
        <w:t xml:space="preserve"> (</w:t>
      </w:r>
      <w:r w:rsidR="003032EE" w:rsidRPr="007F2A01">
        <w:rPr>
          <w:lang w:val="en-GB"/>
        </w:rPr>
        <w:t>exposure will be mostly be through UCIT compliant, blockchain exchange-traded funds whom own stocks in companies that have business operations in blockchain technology or in some way profit from it. Blockchain is made up of complex blocks of digital information, and increasingly is used in banking, investing, cryptocurrency and other sectors. While blockchain is a relatively new technology, many of the companies that operate in the space are well established. Some examples include International Business Machines Corp, Amazon.com Inc., and German-based SAP SE. Blockchain is not the same thing as cryptocurrency, and blockchain exchange-traded funds invest only in stocks of regulated companies, many of which are mega-cap blue-chip technology firms. The Fund may also take direct positions in such equities should the parameters be compelling</w:t>
      </w:r>
      <w:r w:rsidR="00B06B79" w:rsidRPr="007F2A01">
        <w:rPr>
          <w:shd w:val="clear" w:color="auto" w:fill="FFFFFF"/>
          <w:lang w:val="en-GB"/>
        </w:rPr>
        <w:t>)</w:t>
      </w:r>
      <w:r w:rsidR="00047BA6" w:rsidRPr="007F2A01">
        <w:rPr>
          <w:lang w:val="en-GB"/>
        </w:rPr>
        <w:t>;</w:t>
      </w:r>
    </w:p>
    <w:p w14:paraId="3A3B59E7" w14:textId="4E9EA694" w:rsidR="00047BA6" w:rsidRPr="007F2A01" w:rsidRDefault="00426DCE" w:rsidP="00770F75">
      <w:pPr>
        <w:pStyle w:val="BodyText"/>
        <w:numPr>
          <w:ilvl w:val="0"/>
          <w:numId w:val="8"/>
        </w:numPr>
        <w:rPr>
          <w:lang w:val="en-GB"/>
        </w:rPr>
      </w:pPr>
      <w:r w:rsidRPr="007F2A01">
        <w:rPr>
          <w:lang w:val="en-GB"/>
        </w:rPr>
        <w:t>robotics and automation</w:t>
      </w:r>
      <w:r w:rsidR="00047BA6" w:rsidRPr="007F2A01">
        <w:rPr>
          <w:lang w:val="en-GB"/>
        </w:rPr>
        <w:t>;</w:t>
      </w:r>
    </w:p>
    <w:p w14:paraId="5C97F5EB" w14:textId="77777777" w:rsidR="00DE13C4" w:rsidRPr="007F2A01" w:rsidRDefault="00426DCE" w:rsidP="00770F75">
      <w:pPr>
        <w:pStyle w:val="BodyText"/>
        <w:numPr>
          <w:ilvl w:val="0"/>
          <w:numId w:val="8"/>
        </w:numPr>
        <w:rPr>
          <w:lang w:val="en-GB"/>
        </w:rPr>
      </w:pPr>
      <w:r w:rsidRPr="007F2A01">
        <w:rPr>
          <w:lang w:val="en-GB"/>
        </w:rPr>
        <w:t>the growing attention to environmental, social and governance issues</w:t>
      </w:r>
      <w:r w:rsidR="00047BA6" w:rsidRPr="007F2A01">
        <w:rPr>
          <w:lang w:val="en-GB"/>
        </w:rPr>
        <w:t>;</w:t>
      </w:r>
      <w:r w:rsidRPr="007F2A01">
        <w:rPr>
          <w:lang w:val="en-GB"/>
        </w:rPr>
        <w:t xml:space="preserve"> </w:t>
      </w:r>
    </w:p>
    <w:p w14:paraId="5EF110D2" w14:textId="77777777" w:rsidR="00DE13C4" w:rsidRPr="007F2A01" w:rsidRDefault="00DE13C4" w:rsidP="00770F75">
      <w:pPr>
        <w:pStyle w:val="BodyText"/>
        <w:numPr>
          <w:ilvl w:val="0"/>
          <w:numId w:val="8"/>
        </w:numPr>
        <w:rPr>
          <w:lang w:val="en-GB"/>
        </w:rPr>
      </w:pPr>
      <w:r w:rsidRPr="007F2A01">
        <w:rPr>
          <w:lang w:val="en-GB"/>
        </w:rPr>
        <w:t>mining;</w:t>
      </w:r>
    </w:p>
    <w:p w14:paraId="74E79C99" w14:textId="7F8C1C95" w:rsidR="00047BA6" w:rsidRPr="007F2A01" w:rsidRDefault="00DE13C4" w:rsidP="00770F75">
      <w:pPr>
        <w:pStyle w:val="BodyText"/>
        <w:numPr>
          <w:ilvl w:val="0"/>
          <w:numId w:val="8"/>
        </w:numPr>
        <w:rPr>
          <w:lang w:val="en-GB"/>
        </w:rPr>
      </w:pPr>
      <w:r w:rsidRPr="007F2A01">
        <w:rPr>
          <w:lang w:val="en-GB"/>
        </w:rPr>
        <w:t xml:space="preserve">pharmaceuticals; </w:t>
      </w:r>
      <w:r w:rsidR="00B5528C" w:rsidRPr="007F2A01">
        <w:rPr>
          <w:lang w:val="en-GB"/>
        </w:rPr>
        <w:t xml:space="preserve">and </w:t>
      </w:r>
    </w:p>
    <w:p w14:paraId="763DDEDA" w14:textId="77777777" w:rsidR="00047BA6" w:rsidRPr="007F2A01" w:rsidRDefault="00447CFA" w:rsidP="00770F75">
      <w:pPr>
        <w:pStyle w:val="BodyText"/>
        <w:numPr>
          <w:ilvl w:val="0"/>
          <w:numId w:val="8"/>
        </w:numPr>
        <w:rPr>
          <w:lang w:val="en-GB"/>
        </w:rPr>
      </w:pPr>
      <w:r w:rsidRPr="007F2A01">
        <w:rPr>
          <w:lang w:val="en-GB"/>
        </w:rPr>
        <w:t xml:space="preserve">the </w:t>
      </w:r>
      <w:r w:rsidR="002F4183" w:rsidRPr="007F2A01">
        <w:rPr>
          <w:lang w:val="en-GB"/>
        </w:rPr>
        <w:t>electric-vehicle evolution.</w:t>
      </w:r>
      <w:r w:rsidR="00F357B2" w:rsidRPr="007F2A01">
        <w:rPr>
          <w:lang w:val="en-GB"/>
        </w:rPr>
        <w:t xml:space="preserve"> </w:t>
      </w:r>
    </w:p>
    <w:p w14:paraId="47EFCDB3" w14:textId="77777777" w:rsidR="00047BA6" w:rsidRPr="007F2A01" w:rsidRDefault="00047BA6" w:rsidP="00770F75">
      <w:pPr>
        <w:pStyle w:val="BodyText"/>
        <w:rPr>
          <w:lang w:val="en-GB"/>
        </w:rPr>
      </w:pPr>
    </w:p>
    <w:p w14:paraId="18755A9B" w14:textId="0D3CF2DF" w:rsidR="000C15C3" w:rsidRPr="007F2A01" w:rsidRDefault="009A51CA" w:rsidP="00770F75">
      <w:pPr>
        <w:pStyle w:val="BodyText"/>
        <w:rPr>
          <w:lang w:val="en-GB"/>
        </w:rPr>
      </w:pPr>
      <w:r w:rsidRPr="007F2A01">
        <w:rPr>
          <w:lang w:val="en-GB"/>
        </w:rPr>
        <w:t xml:space="preserve">The Manager is unconstrained in identifying and focusing on the </w:t>
      </w:r>
      <w:r w:rsidR="00426DCE" w:rsidRPr="007F2A01">
        <w:rPr>
          <w:lang w:val="en-GB"/>
        </w:rPr>
        <w:t>g</w:t>
      </w:r>
      <w:r w:rsidRPr="007F2A01">
        <w:rPr>
          <w:lang w:val="en-GB"/>
        </w:rPr>
        <w:t xml:space="preserve">lobal </w:t>
      </w:r>
      <w:r w:rsidR="00426DCE" w:rsidRPr="007F2A01">
        <w:rPr>
          <w:lang w:val="en-GB"/>
        </w:rPr>
        <w:t>t</w:t>
      </w:r>
      <w:r w:rsidRPr="007F2A01">
        <w:rPr>
          <w:lang w:val="en-GB"/>
        </w:rPr>
        <w:t xml:space="preserve">hematic </w:t>
      </w:r>
      <w:r w:rsidR="00426DCE" w:rsidRPr="007F2A01">
        <w:rPr>
          <w:lang w:val="en-GB"/>
        </w:rPr>
        <w:t>o</w:t>
      </w:r>
      <w:r w:rsidRPr="007F2A01">
        <w:rPr>
          <w:lang w:val="en-GB"/>
        </w:rPr>
        <w:t xml:space="preserve">pportunities it believes will deliver the </w:t>
      </w:r>
      <w:r w:rsidR="00B5528C" w:rsidRPr="007F2A01">
        <w:rPr>
          <w:lang w:val="en-GB"/>
        </w:rPr>
        <w:t xml:space="preserve">best </w:t>
      </w:r>
      <w:r w:rsidRPr="007F2A01">
        <w:rPr>
          <w:lang w:val="en-GB"/>
        </w:rPr>
        <w:t>returns for investors</w:t>
      </w:r>
      <w:r w:rsidR="00957CDE" w:rsidRPr="007F2A01">
        <w:rPr>
          <w:lang w:val="en-GB"/>
        </w:rPr>
        <w:t xml:space="preserve">, </w:t>
      </w:r>
      <w:r w:rsidR="00DE13C4" w:rsidRPr="007F2A01">
        <w:rPr>
          <w:lang w:val="en-GB"/>
        </w:rPr>
        <w:t>and accordingly the Fund may</w:t>
      </w:r>
      <w:r w:rsidR="001B11FF" w:rsidRPr="007F2A01">
        <w:rPr>
          <w:lang w:val="en-GB"/>
        </w:rPr>
        <w:t>,</w:t>
      </w:r>
      <w:r w:rsidR="00DE13C4" w:rsidRPr="007F2A01">
        <w:rPr>
          <w:lang w:val="en-GB"/>
        </w:rPr>
        <w:t xml:space="preserve"> but is not expected to</w:t>
      </w:r>
      <w:r w:rsidR="001B11FF" w:rsidRPr="007F2A01">
        <w:rPr>
          <w:lang w:val="en-GB"/>
        </w:rPr>
        <w:t>,</w:t>
      </w:r>
      <w:r w:rsidR="00DE13C4" w:rsidRPr="007F2A01">
        <w:rPr>
          <w:lang w:val="en-GB"/>
        </w:rPr>
        <w:t xml:space="preserve"> invest more than 20% of its NAV in emerging markets</w:t>
      </w:r>
      <w:r w:rsidRPr="007F2A01">
        <w:rPr>
          <w:lang w:val="en-GB"/>
        </w:rPr>
        <w:t xml:space="preserve">. </w:t>
      </w:r>
      <w:r w:rsidR="002368BA" w:rsidRPr="007F2A01">
        <w:rPr>
          <w:lang w:val="en-GB"/>
        </w:rPr>
        <w:t>I</w:t>
      </w:r>
      <w:r w:rsidR="003E5559" w:rsidRPr="007F2A01">
        <w:rPr>
          <w:lang w:val="en-GB"/>
        </w:rPr>
        <w:t>nvestors should no</w:t>
      </w:r>
      <w:r w:rsidR="002368BA" w:rsidRPr="007F2A01">
        <w:rPr>
          <w:lang w:val="en-GB"/>
        </w:rPr>
        <w:t>te that there is no guarantee that the Fund will achieve this investment objective.</w:t>
      </w:r>
    </w:p>
    <w:p w14:paraId="3308D9F8" w14:textId="77777777" w:rsidR="000C15C3" w:rsidRPr="007F2A01" w:rsidRDefault="000C15C3" w:rsidP="00770F75">
      <w:pPr>
        <w:pStyle w:val="BodyText"/>
        <w:rPr>
          <w:lang w:val="en-GB"/>
        </w:rPr>
      </w:pPr>
    </w:p>
    <w:p w14:paraId="4547B75C" w14:textId="77777777" w:rsidR="000C15C3" w:rsidRPr="007F2A01" w:rsidRDefault="00381844" w:rsidP="00770F75">
      <w:pPr>
        <w:pStyle w:val="BodyText"/>
        <w:rPr>
          <w:b/>
          <w:lang w:val="en-GB"/>
        </w:rPr>
      </w:pPr>
      <w:r w:rsidRPr="007F2A01">
        <w:rPr>
          <w:b/>
          <w:lang w:val="en-GB"/>
        </w:rPr>
        <w:t>Profile of a Typical Investor</w:t>
      </w:r>
    </w:p>
    <w:p w14:paraId="594D40EA" w14:textId="77777777" w:rsidR="000C15C3" w:rsidRPr="007F2A01" w:rsidRDefault="000C15C3" w:rsidP="00770F75">
      <w:pPr>
        <w:pStyle w:val="BodyText"/>
        <w:rPr>
          <w:lang w:val="en-GB"/>
        </w:rPr>
      </w:pPr>
    </w:p>
    <w:p w14:paraId="433A9A20" w14:textId="6B52235B" w:rsidR="00381844" w:rsidRPr="007F2A01" w:rsidRDefault="00381844" w:rsidP="00770F75">
      <w:pPr>
        <w:pStyle w:val="BodyText"/>
        <w:rPr>
          <w:lang w:val="en-GB"/>
        </w:rPr>
      </w:pPr>
      <w:r w:rsidRPr="007F2A01">
        <w:rPr>
          <w:lang w:val="en-GB"/>
        </w:rPr>
        <w:t>This Fund is suitable for investors who primarily seek capital growth. Investors should have a high tolerance for risk and be willing and able to accept volatility and/or potential losses. This Fund is not appropriate for short term investment and is designed for investors who will hold shares in the Fund as part of a wider diversified portfolio.</w:t>
      </w:r>
    </w:p>
    <w:p w14:paraId="3A378AE1" w14:textId="1B1D2F5F" w:rsidR="00381844" w:rsidRPr="007F2A01" w:rsidRDefault="00381844" w:rsidP="00770F75">
      <w:pPr>
        <w:pStyle w:val="BodyText"/>
        <w:rPr>
          <w:lang w:val="en-GB"/>
        </w:rPr>
      </w:pPr>
    </w:p>
    <w:p w14:paraId="7FD7AEA1" w14:textId="77777777" w:rsidR="00381844" w:rsidRPr="007F2A01" w:rsidRDefault="00381844" w:rsidP="00770F75">
      <w:pPr>
        <w:pStyle w:val="BodyText"/>
        <w:rPr>
          <w:rFonts w:ascii="Times New Roman" w:hAnsi="Times New Roman"/>
          <w:b/>
          <w:sz w:val="24"/>
          <w:lang w:val="en-GB"/>
        </w:rPr>
      </w:pPr>
      <w:r w:rsidRPr="007F2A01">
        <w:rPr>
          <w:b/>
          <w:lang w:val="en-GB"/>
        </w:rPr>
        <w:t>Investment Policy</w:t>
      </w:r>
    </w:p>
    <w:p w14:paraId="10534EFA" w14:textId="6FD22049" w:rsidR="00381844" w:rsidRPr="007F2A01" w:rsidRDefault="00381844" w:rsidP="00770F75">
      <w:pPr>
        <w:pStyle w:val="BodyText"/>
        <w:rPr>
          <w:lang w:val="en-GB"/>
        </w:rPr>
      </w:pPr>
    </w:p>
    <w:p w14:paraId="339752D3" w14:textId="4B9129B9" w:rsidR="00C87E1F" w:rsidRPr="007F2A01" w:rsidRDefault="00624A6A" w:rsidP="00770F75">
      <w:pPr>
        <w:pStyle w:val="BodyText"/>
        <w:rPr>
          <w:lang w:val="en-GB"/>
        </w:rPr>
      </w:pPr>
      <w:r w:rsidRPr="007F2A01">
        <w:rPr>
          <w:lang w:val="en-GB"/>
        </w:rPr>
        <w:t xml:space="preserve">The style of investing is unconstrained multi-sector and multi-asset which seeks predominantly to exploit global themes and sectors </w:t>
      </w:r>
      <w:r w:rsidR="00047BA6" w:rsidRPr="007F2A01">
        <w:rPr>
          <w:lang w:val="en-GB"/>
        </w:rPr>
        <w:t xml:space="preserve">(as specified in the Investment Objective) </w:t>
      </w:r>
      <w:r w:rsidRPr="007F2A01">
        <w:rPr>
          <w:lang w:val="en-GB"/>
        </w:rPr>
        <w:t xml:space="preserve">exhibiting </w:t>
      </w:r>
      <w:r w:rsidR="00047BA6" w:rsidRPr="007F2A01">
        <w:rPr>
          <w:lang w:val="en-GB"/>
        </w:rPr>
        <w:t xml:space="preserve">the potential for </w:t>
      </w:r>
      <w:r w:rsidRPr="007F2A01">
        <w:rPr>
          <w:lang w:val="en-GB"/>
        </w:rPr>
        <w:t>significant growth and which has been selected in accordance with the methodology described at “Investment Selection”.</w:t>
      </w:r>
    </w:p>
    <w:p w14:paraId="3C20BE7E" w14:textId="77777777" w:rsidR="00C87E1F" w:rsidRPr="007F2A01" w:rsidRDefault="00C87E1F" w:rsidP="00770F75">
      <w:pPr>
        <w:pStyle w:val="BodyText"/>
        <w:rPr>
          <w:lang w:val="en-GB"/>
        </w:rPr>
      </w:pPr>
    </w:p>
    <w:p w14:paraId="4C85B6F1" w14:textId="692667F0" w:rsidR="00C87E1F" w:rsidRPr="007F2A01" w:rsidRDefault="00381844" w:rsidP="00770F75">
      <w:pPr>
        <w:pStyle w:val="BodyText"/>
        <w:rPr>
          <w:lang w:val="en-GB"/>
        </w:rPr>
      </w:pPr>
      <w:r w:rsidRPr="007F2A01">
        <w:rPr>
          <w:lang w:val="en-GB"/>
        </w:rPr>
        <w:t>The Fund</w:t>
      </w:r>
      <w:r w:rsidR="00624A6A" w:rsidRPr="007F2A01">
        <w:rPr>
          <w:lang w:val="en-GB"/>
        </w:rPr>
        <w:t xml:space="preserve"> will </w:t>
      </w:r>
      <w:r w:rsidRPr="007F2A01">
        <w:rPr>
          <w:lang w:val="en-GB"/>
        </w:rPr>
        <w:t xml:space="preserve">invest in a concentrated </w:t>
      </w:r>
      <w:r w:rsidR="002F4183" w:rsidRPr="007F2A01">
        <w:rPr>
          <w:lang w:val="en-GB"/>
        </w:rPr>
        <w:t>(30 to 50 positions)</w:t>
      </w:r>
      <w:r w:rsidR="00B5528C" w:rsidRPr="007F2A01">
        <w:rPr>
          <w:lang w:val="en-GB"/>
        </w:rPr>
        <w:t xml:space="preserve"> but</w:t>
      </w:r>
      <w:r w:rsidR="002F4183" w:rsidRPr="007F2A01">
        <w:rPr>
          <w:lang w:val="en-GB"/>
        </w:rPr>
        <w:t xml:space="preserve"> </w:t>
      </w:r>
      <w:r w:rsidRPr="007F2A01">
        <w:rPr>
          <w:lang w:val="en-GB"/>
        </w:rPr>
        <w:t xml:space="preserve">globally </w:t>
      </w:r>
      <w:r w:rsidR="00B5528C" w:rsidRPr="007F2A01">
        <w:rPr>
          <w:lang w:val="en-GB"/>
        </w:rPr>
        <w:t>unconstrained and</w:t>
      </w:r>
      <w:r w:rsidR="002F4183" w:rsidRPr="007F2A01">
        <w:rPr>
          <w:lang w:val="en-GB"/>
        </w:rPr>
        <w:t xml:space="preserve"> </w:t>
      </w:r>
      <w:r w:rsidRPr="007F2A01">
        <w:rPr>
          <w:lang w:val="en-GB"/>
        </w:rPr>
        <w:t>diversified long-only portfolio giving exposure to publicly traded equities, debt securities</w:t>
      </w:r>
      <w:r w:rsidR="002D54CC" w:rsidRPr="007F2A01">
        <w:rPr>
          <w:lang w:val="en-GB"/>
        </w:rPr>
        <w:t>,</w:t>
      </w:r>
      <w:r w:rsidR="002F4183" w:rsidRPr="007F2A01">
        <w:rPr>
          <w:lang w:val="en-GB"/>
        </w:rPr>
        <w:t xml:space="preserve"> </w:t>
      </w:r>
      <w:r w:rsidR="009A51CA" w:rsidRPr="007F2A01">
        <w:rPr>
          <w:lang w:val="en-GB"/>
        </w:rPr>
        <w:t>namely</w:t>
      </w:r>
      <w:r w:rsidR="00B11C59" w:rsidRPr="007F2A01">
        <w:rPr>
          <w:lang w:val="en-GB"/>
        </w:rPr>
        <w:t xml:space="preserve"> sovereign and investment grade</w:t>
      </w:r>
      <w:r w:rsidR="007101AE" w:rsidRPr="007F2A01">
        <w:rPr>
          <w:lang w:val="en-GB"/>
        </w:rPr>
        <w:t xml:space="preserve"> </w:t>
      </w:r>
      <w:r w:rsidR="009A51CA" w:rsidRPr="007F2A01">
        <w:rPr>
          <w:lang w:val="en-GB"/>
        </w:rPr>
        <w:t>debt</w:t>
      </w:r>
      <w:r w:rsidR="002D54CC" w:rsidRPr="007F2A01">
        <w:rPr>
          <w:lang w:val="en-GB"/>
        </w:rPr>
        <w:t>,</w:t>
      </w:r>
      <w:r w:rsidR="00AD2E64" w:rsidRPr="007F2A01">
        <w:rPr>
          <w:lang w:val="en-GB"/>
        </w:rPr>
        <w:t xml:space="preserve"> </w:t>
      </w:r>
      <w:r w:rsidR="005120B2" w:rsidRPr="007F2A01">
        <w:rPr>
          <w:lang w:val="en-GB"/>
        </w:rPr>
        <w:t xml:space="preserve">and </w:t>
      </w:r>
      <w:r w:rsidRPr="007F2A01">
        <w:rPr>
          <w:lang w:val="en-GB"/>
        </w:rPr>
        <w:t>commodities</w:t>
      </w:r>
      <w:r w:rsidR="00717566" w:rsidRPr="007F2A01">
        <w:rPr>
          <w:lang w:val="en-GB"/>
        </w:rPr>
        <w:t>.</w:t>
      </w:r>
      <w:r w:rsidRPr="007F2A01">
        <w:rPr>
          <w:lang w:val="en-GB"/>
        </w:rPr>
        <w:t xml:space="preserve"> </w:t>
      </w:r>
      <w:r w:rsidR="00717566" w:rsidRPr="007F2A01">
        <w:rPr>
          <w:lang w:val="en-GB"/>
        </w:rPr>
        <w:t xml:space="preserve">Exposure to equities and debt securities may be direct or indirect </w:t>
      </w:r>
      <w:r w:rsidR="009A51CA" w:rsidRPr="007F2A01">
        <w:rPr>
          <w:lang w:val="en-GB"/>
        </w:rPr>
        <w:t xml:space="preserve">by means of investing in exchange traded funds </w:t>
      </w:r>
      <w:r w:rsidR="00047BA6" w:rsidRPr="007F2A01">
        <w:rPr>
          <w:lang w:val="en-GB"/>
        </w:rPr>
        <w:t>which</w:t>
      </w:r>
      <w:r w:rsidR="00245E6B" w:rsidRPr="007F2A01">
        <w:rPr>
          <w:lang w:val="en-GB"/>
        </w:rPr>
        <w:t xml:space="preserve"> </w:t>
      </w:r>
      <w:r w:rsidR="00047BA6" w:rsidRPr="007F2A01">
        <w:rPr>
          <w:lang w:val="en-GB"/>
        </w:rPr>
        <w:t>focus on the global thematic opportunities identified by the Manager</w:t>
      </w:r>
      <w:r w:rsidR="00717566" w:rsidRPr="007F2A01">
        <w:rPr>
          <w:lang w:val="en-GB"/>
        </w:rPr>
        <w:t>. The Fund may also obtain</w:t>
      </w:r>
      <w:r w:rsidR="002F7942" w:rsidRPr="007F2A01">
        <w:rPr>
          <w:lang w:val="en-GB"/>
        </w:rPr>
        <w:t xml:space="preserve"> exposure to precious metals</w:t>
      </w:r>
      <w:r w:rsidR="00C52EA8" w:rsidRPr="007F2A01">
        <w:rPr>
          <w:lang w:val="en-GB"/>
        </w:rPr>
        <w:t>, hard and soft commodities</w:t>
      </w:r>
      <w:r w:rsidR="002F7942" w:rsidRPr="007F2A01">
        <w:rPr>
          <w:lang w:val="en-GB"/>
        </w:rPr>
        <w:t xml:space="preserve"> </w:t>
      </w:r>
      <w:r w:rsidR="00B11C59" w:rsidRPr="007F2A01">
        <w:rPr>
          <w:lang w:val="en-GB"/>
        </w:rPr>
        <w:t>such as</w:t>
      </w:r>
      <w:r w:rsidR="00C52EA8" w:rsidRPr="007F2A01">
        <w:rPr>
          <w:lang w:val="en-GB"/>
        </w:rPr>
        <w:t>, but not limited to</w:t>
      </w:r>
      <w:r w:rsidR="00CD1843" w:rsidRPr="007F2A01">
        <w:rPr>
          <w:lang w:val="en-GB"/>
        </w:rPr>
        <w:t>,</w:t>
      </w:r>
      <w:r w:rsidR="00B11C59" w:rsidRPr="007F2A01">
        <w:rPr>
          <w:lang w:val="en-GB"/>
        </w:rPr>
        <w:t xml:space="preserve"> </w:t>
      </w:r>
      <w:r w:rsidR="002F7942" w:rsidRPr="007F2A01">
        <w:rPr>
          <w:lang w:val="en-GB"/>
        </w:rPr>
        <w:t>silver, platinum, palladium</w:t>
      </w:r>
      <w:r w:rsidR="00CD1843" w:rsidRPr="007F2A01">
        <w:rPr>
          <w:lang w:val="en-GB"/>
        </w:rPr>
        <w:t>,</w:t>
      </w:r>
      <w:r w:rsidR="009A51CA" w:rsidRPr="007F2A01">
        <w:rPr>
          <w:lang w:val="en-GB"/>
        </w:rPr>
        <w:t xml:space="preserve"> </w:t>
      </w:r>
      <w:r w:rsidR="00CD1843" w:rsidRPr="007F2A01">
        <w:rPr>
          <w:lang w:val="en-GB"/>
        </w:rPr>
        <w:t xml:space="preserve">gold, oil </w:t>
      </w:r>
      <w:r w:rsidR="009A51CA" w:rsidRPr="007F2A01">
        <w:rPr>
          <w:lang w:val="en-GB"/>
        </w:rPr>
        <w:t xml:space="preserve">and </w:t>
      </w:r>
      <w:r w:rsidR="00CD1843" w:rsidRPr="007F2A01">
        <w:rPr>
          <w:lang w:val="en-GB"/>
        </w:rPr>
        <w:t xml:space="preserve">grains </w:t>
      </w:r>
      <w:r w:rsidRPr="007F2A01">
        <w:rPr>
          <w:lang w:val="en-GB"/>
        </w:rPr>
        <w:t xml:space="preserve">through both </w:t>
      </w:r>
      <w:bookmarkStart w:id="4" w:name="_Hlk40951466"/>
      <w:r w:rsidRPr="007F2A01">
        <w:rPr>
          <w:lang w:val="en-GB"/>
        </w:rPr>
        <w:t xml:space="preserve">direct investment </w:t>
      </w:r>
      <w:r w:rsidR="00717566" w:rsidRPr="007F2A01">
        <w:rPr>
          <w:lang w:val="en-GB"/>
        </w:rPr>
        <w:t xml:space="preserve">in the shares of the companies in the commodities sector </w:t>
      </w:r>
      <w:r w:rsidRPr="007F2A01">
        <w:rPr>
          <w:lang w:val="en-GB"/>
        </w:rPr>
        <w:t>and investment into collective investment schemes</w:t>
      </w:r>
      <w:bookmarkEnd w:id="4"/>
      <w:r w:rsidR="00447CFA" w:rsidRPr="007F2A01">
        <w:rPr>
          <w:lang w:val="en-GB"/>
        </w:rPr>
        <w:t xml:space="preserve"> which the Investment Manager expects will </w:t>
      </w:r>
      <w:r w:rsidR="00884781" w:rsidRPr="007F2A01">
        <w:rPr>
          <w:lang w:val="en-GB"/>
        </w:rPr>
        <w:t>benefit</w:t>
      </w:r>
      <w:r w:rsidR="00DE430F" w:rsidRPr="007F2A01">
        <w:rPr>
          <w:lang w:val="en-GB"/>
        </w:rPr>
        <w:t xml:space="preserve"> from increased demand due to the global thematic opportunities</w:t>
      </w:r>
      <w:r w:rsidR="00C438B0" w:rsidRPr="007F2A01">
        <w:rPr>
          <w:lang w:val="en-GB"/>
        </w:rPr>
        <w:t xml:space="preserve"> identified above</w:t>
      </w:r>
      <w:r w:rsidRPr="007F2A01">
        <w:rPr>
          <w:lang w:val="en-GB"/>
        </w:rPr>
        <w:t>.</w:t>
      </w:r>
      <w:r w:rsidR="002F7942" w:rsidRPr="007F2A01">
        <w:rPr>
          <w:lang w:val="en-GB"/>
        </w:rPr>
        <w:t xml:space="preserve"> </w:t>
      </w:r>
    </w:p>
    <w:p w14:paraId="5A56278E" w14:textId="77777777" w:rsidR="00C87E1F" w:rsidRPr="007F2A01" w:rsidRDefault="00C87E1F" w:rsidP="00770F75">
      <w:pPr>
        <w:pStyle w:val="BodyText"/>
        <w:rPr>
          <w:lang w:val="en-GB"/>
        </w:rPr>
      </w:pPr>
    </w:p>
    <w:p w14:paraId="0C0E06B6" w14:textId="016E5AC0" w:rsidR="00C87E1F" w:rsidRPr="007F2A01" w:rsidRDefault="002F7942" w:rsidP="00770F75">
      <w:pPr>
        <w:pStyle w:val="BodyText"/>
        <w:rPr>
          <w:lang w:val="en-GB"/>
        </w:rPr>
      </w:pPr>
      <w:r w:rsidRPr="007F2A01">
        <w:rPr>
          <w:lang w:val="en-GB"/>
        </w:rPr>
        <w:t xml:space="preserve">The Fund may also invest in exchange traded funds providing exposure to indices tracking a basket of commodity futures prices. </w:t>
      </w:r>
    </w:p>
    <w:p w14:paraId="5D4DED18" w14:textId="77777777" w:rsidR="00957CDE" w:rsidRPr="007F2A01" w:rsidRDefault="00957CDE" w:rsidP="00770F75">
      <w:pPr>
        <w:pStyle w:val="BodyText"/>
        <w:rPr>
          <w:lang w:val="en-GB"/>
        </w:rPr>
      </w:pPr>
    </w:p>
    <w:p w14:paraId="6BB30B28" w14:textId="0F7761C5" w:rsidR="00F37A80" w:rsidRPr="007F2A01" w:rsidRDefault="00381844" w:rsidP="003853EA">
      <w:pPr>
        <w:pStyle w:val="BodyText"/>
        <w:spacing w:after="240"/>
        <w:rPr>
          <w:lang w:val="en-GB"/>
        </w:rPr>
      </w:pPr>
      <w:r w:rsidRPr="007F2A01">
        <w:rPr>
          <w:lang w:val="en-GB"/>
        </w:rPr>
        <w:t xml:space="preserve">The </w:t>
      </w:r>
      <w:r w:rsidR="00B11C59" w:rsidRPr="007F2A01">
        <w:rPr>
          <w:lang w:val="en-GB"/>
        </w:rPr>
        <w:t xml:space="preserve">Fund’s investment policy </w:t>
      </w:r>
      <w:r w:rsidRPr="007F2A01">
        <w:rPr>
          <w:lang w:val="en-GB"/>
        </w:rPr>
        <w:t xml:space="preserve">provides the flexibility for the </w:t>
      </w:r>
      <w:r w:rsidR="00B11C59" w:rsidRPr="007F2A01">
        <w:rPr>
          <w:lang w:val="en-GB"/>
        </w:rPr>
        <w:t>F</w:t>
      </w:r>
      <w:r w:rsidRPr="007F2A01">
        <w:rPr>
          <w:lang w:val="en-GB"/>
        </w:rPr>
        <w:t>und to fully revert into near cash instruments during periods of extreme volatility.</w:t>
      </w:r>
    </w:p>
    <w:p w14:paraId="2FB6F02C" w14:textId="01C289C4" w:rsidR="00381844" w:rsidRPr="007F2A01" w:rsidRDefault="003A691A" w:rsidP="00770F75">
      <w:pPr>
        <w:pStyle w:val="ListParagraph"/>
        <w:rPr>
          <w:rFonts w:ascii="Times New Roman" w:hAnsi="Times New Roman"/>
          <w:sz w:val="24"/>
          <w:lang w:val="en-GB"/>
        </w:rPr>
      </w:pPr>
      <w:bookmarkStart w:id="5" w:name="_Toc98335005"/>
      <w:bookmarkStart w:id="6" w:name="_Toc172121786"/>
      <w:r w:rsidRPr="007F2A01">
        <w:rPr>
          <w:lang w:val="en-GB"/>
        </w:rPr>
        <w:lastRenderedPageBreak/>
        <w:t>INVESTMENT SELECTION</w:t>
      </w:r>
      <w:bookmarkEnd w:id="5"/>
      <w:bookmarkEnd w:id="6"/>
    </w:p>
    <w:p w14:paraId="6A59275F" w14:textId="77777777" w:rsidR="00381844" w:rsidRPr="007F2A01" w:rsidRDefault="00381844" w:rsidP="00770F75">
      <w:pPr>
        <w:pStyle w:val="BodyText"/>
        <w:rPr>
          <w:lang w:val="en-GB"/>
        </w:rPr>
      </w:pPr>
      <w:r w:rsidRPr="007F2A01">
        <w:rPr>
          <w:lang w:val="en-GB"/>
        </w:rPr>
        <w:t>The portfolio is constructed through a multi-layer approach including country, currency exposures, and finally through disciplined security and fund selection based on macro themes.</w:t>
      </w:r>
    </w:p>
    <w:p w14:paraId="79486982" w14:textId="5B47C881" w:rsidR="00381844" w:rsidRPr="007F2A01" w:rsidRDefault="00381844" w:rsidP="00770F75">
      <w:pPr>
        <w:pStyle w:val="BodyText"/>
        <w:rPr>
          <w:lang w:val="en-GB"/>
        </w:rPr>
      </w:pPr>
    </w:p>
    <w:p w14:paraId="6A04A60C" w14:textId="6A0ECC0E" w:rsidR="00381844" w:rsidRPr="007F2A01" w:rsidRDefault="00381844" w:rsidP="00770F75">
      <w:pPr>
        <w:pStyle w:val="BodyText"/>
        <w:rPr>
          <w:lang w:val="en-GB"/>
        </w:rPr>
      </w:pPr>
      <w:r w:rsidRPr="007F2A01">
        <w:rPr>
          <w:lang w:val="en-GB"/>
        </w:rPr>
        <w:t>The country, currency and factor selection is to favor geographic regions with stable currencies, inflationary and political environments.</w:t>
      </w:r>
      <w:r w:rsidR="00770F75" w:rsidRPr="007F2A01">
        <w:rPr>
          <w:lang w:val="en-GB"/>
        </w:rPr>
        <w:t xml:space="preserve"> </w:t>
      </w:r>
      <w:r w:rsidR="009A51CA" w:rsidRPr="007F2A01">
        <w:rPr>
          <w:lang w:val="en-GB"/>
        </w:rPr>
        <w:t>Securities and</w:t>
      </w:r>
      <w:r w:rsidRPr="007F2A01">
        <w:rPr>
          <w:lang w:val="en-GB"/>
        </w:rPr>
        <w:t xml:space="preserve"> </w:t>
      </w:r>
      <w:r w:rsidR="00F73AB8" w:rsidRPr="007F2A01">
        <w:rPr>
          <w:lang w:val="en-GB"/>
        </w:rPr>
        <w:t xml:space="preserve">funds </w:t>
      </w:r>
      <w:r w:rsidRPr="007F2A01">
        <w:rPr>
          <w:lang w:val="en-GB"/>
        </w:rPr>
        <w:t>are selected based on their providing the desired exposure, to</w:t>
      </w:r>
      <w:r w:rsidR="00770F75" w:rsidRPr="007F2A01">
        <w:rPr>
          <w:lang w:val="en-GB"/>
        </w:rPr>
        <w:t xml:space="preserve">tal cost of ownership including </w:t>
      </w:r>
      <w:r w:rsidRPr="007F2A01">
        <w:rPr>
          <w:lang w:val="en-GB"/>
        </w:rPr>
        <w:t xml:space="preserve">fees and dealing spreads, and the financial robustness of the </w:t>
      </w:r>
      <w:r w:rsidR="009A51CA" w:rsidRPr="007F2A01">
        <w:rPr>
          <w:lang w:val="en-GB"/>
        </w:rPr>
        <w:t xml:space="preserve">relevant underlying company or fund </w:t>
      </w:r>
      <w:r w:rsidRPr="007F2A01">
        <w:rPr>
          <w:lang w:val="en-GB"/>
        </w:rPr>
        <w:t>provider.</w:t>
      </w:r>
    </w:p>
    <w:p w14:paraId="4F630415" w14:textId="54A5A9E4" w:rsidR="00381844" w:rsidRPr="007F2A01" w:rsidRDefault="00381844" w:rsidP="00770F75">
      <w:pPr>
        <w:pStyle w:val="BodyText"/>
        <w:rPr>
          <w:lang w:val="en-GB"/>
        </w:rPr>
      </w:pPr>
    </w:p>
    <w:p w14:paraId="24A07EC9" w14:textId="77777777" w:rsidR="00381844" w:rsidRPr="007F2A01" w:rsidRDefault="00381844" w:rsidP="00770F75">
      <w:pPr>
        <w:pStyle w:val="BodyText"/>
        <w:rPr>
          <w:lang w:val="en-GB"/>
        </w:rPr>
      </w:pPr>
      <w:r w:rsidRPr="007F2A01">
        <w:rPr>
          <w:lang w:val="en-GB"/>
        </w:rPr>
        <w:t>The security analysis seeks to identify companies that are attractively priced relative to estimates of cash-flow, earnings and revenue within economically sound sectors. The targeted markets are quantitatively screened to highlight undervalued securities or sectors that have the potential to add alpha to the overall portfolio in the short term.</w:t>
      </w:r>
    </w:p>
    <w:p w14:paraId="3C2CA0BD" w14:textId="55850D55" w:rsidR="00381844" w:rsidRPr="007F2A01" w:rsidRDefault="00381844" w:rsidP="00770F75">
      <w:pPr>
        <w:pStyle w:val="BodyText"/>
        <w:rPr>
          <w:lang w:val="en-GB"/>
        </w:rPr>
      </w:pPr>
    </w:p>
    <w:p w14:paraId="171F4396" w14:textId="3CF02697" w:rsidR="00381844" w:rsidRPr="007F2A01" w:rsidRDefault="00381844" w:rsidP="00770F75">
      <w:pPr>
        <w:pStyle w:val="BodyText"/>
        <w:rPr>
          <w:lang w:val="en-GB"/>
        </w:rPr>
      </w:pPr>
      <w:r w:rsidRPr="007F2A01">
        <w:rPr>
          <w:lang w:val="en-GB"/>
        </w:rPr>
        <w:t>A strict sell discipline is imposed when a position appreciates to the target price without commensurate gain in intrinsic value. If the anticipated catalyst(s) fails to happen within a reasonable period or an unanticipated event / change in fundamentals, or deterioration in intrinsic value undermines the reason for owning the stock or the outlook for the country changes – then the position is liquidated.</w:t>
      </w:r>
    </w:p>
    <w:p w14:paraId="64053343" w14:textId="4B600D08" w:rsidR="00367235" w:rsidRPr="007F2A01" w:rsidRDefault="00367235" w:rsidP="00770F75">
      <w:pPr>
        <w:pStyle w:val="BodyText"/>
        <w:rPr>
          <w:lang w:val="en-GB"/>
        </w:rPr>
      </w:pPr>
    </w:p>
    <w:p w14:paraId="092D1287" w14:textId="793793D0" w:rsidR="00367235" w:rsidRPr="007F2A01" w:rsidRDefault="00367235" w:rsidP="00770F75">
      <w:pPr>
        <w:pStyle w:val="BodyText"/>
        <w:rPr>
          <w:b/>
          <w:lang w:val="en-GB"/>
        </w:rPr>
      </w:pPr>
      <w:r w:rsidRPr="007F2A01">
        <w:rPr>
          <w:b/>
          <w:lang w:val="en-GB"/>
        </w:rPr>
        <w:t>Sustainable Finance Disclosure Regulation</w:t>
      </w:r>
    </w:p>
    <w:p w14:paraId="642E8A5F" w14:textId="77777777" w:rsidR="00367235" w:rsidRPr="007F2A01" w:rsidRDefault="00367235" w:rsidP="00770F75">
      <w:pPr>
        <w:pStyle w:val="BodyText"/>
        <w:rPr>
          <w:lang w:val="en-GB"/>
        </w:rPr>
      </w:pPr>
    </w:p>
    <w:p w14:paraId="2C7311F6" w14:textId="401F1920" w:rsidR="001F7DDE" w:rsidRPr="007F2A01" w:rsidRDefault="00367235" w:rsidP="00770F75">
      <w:pPr>
        <w:pStyle w:val="BodyText"/>
        <w:rPr>
          <w:lang w:val="en-GB"/>
        </w:rPr>
      </w:pPr>
      <w:r w:rsidRPr="007F2A01">
        <w:rPr>
          <w:lang w:val="en-GB"/>
        </w:rPr>
        <w:t>The Investment Manager has a risk management process that identifies events and conditions that could cause a material negative impact on the value of the F</w:t>
      </w:r>
      <w:r w:rsidR="00770F75" w:rsidRPr="007F2A01">
        <w:rPr>
          <w:lang w:val="en-GB"/>
        </w:rPr>
        <w:t xml:space="preserve">und’s investments. </w:t>
      </w:r>
      <w:r w:rsidRPr="007F2A01">
        <w:rPr>
          <w:lang w:val="en-GB"/>
        </w:rPr>
        <w:t xml:space="preserve"> Our investment management approach takes account of identified risks and seeks </w:t>
      </w:r>
      <w:r w:rsidR="00770F75" w:rsidRPr="007F2A01">
        <w:rPr>
          <w:lang w:val="en-GB"/>
        </w:rPr>
        <w:t xml:space="preserve">to minimise and mitigate them.  </w:t>
      </w:r>
      <w:r w:rsidRPr="007F2A01">
        <w:rPr>
          <w:lang w:val="en-GB"/>
        </w:rPr>
        <w:t>This may include the identification and management of sustainability risks.</w:t>
      </w:r>
      <w:r w:rsidR="00770F75" w:rsidRPr="007F2A01">
        <w:rPr>
          <w:lang w:val="en-GB"/>
        </w:rPr>
        <w:t xml:space="preserve"> </w:t>
      </w:r>
      <w:r w:rsidRPr="007F2A01">
        <w:rPr>
          <w:lang w:val="en-GB"/>
        </w:rPr>
        <w:t xml:space="preserve"> However, at this time, our risk management process does not formally and explicitly integrate sustainability risk management.</w:t>
      </w:r>
      <w:r w:rsidR="001F7DDE" w:rsidRPr="007F2A01">
        <w:rPr>
          <w:lang w:val="en-GB"/>
        </w:rPr>
        <w:t xml:space="preserve">  </w:t>
      </w:r>
    </w:p>
    <w:p w14:paraId="73A35906" w14:textId="77777777" w:rsidR="001F7DDE" w:rsidRPr="007F2A01" w:rsidRDefault="001F7DDE" w:rsidP="00770F75">
      <w:pPr>
        <w:pStyle w:val="BodyText"/>
        <w:rPr>
          <w:lang w:val="en-GB"/>
        </w:rPr>
      </w:pPr>
    </w:p>
    <w:p w14:paraId="417A3F1A" w14:textId="4D8EA02A" w:rsidR="00367235" w:rsidRPr="007F2A01" w:rsidRDefault="001F7DDE" w:rsidP="00770F75">
      <w:pPr>
        <w:pStyle w:val="BodyText"/>
        <w:rPr>
          <w:lang w:val="en-GB"/>
        </w:rPr>
      </w:pPr>
      <w:r w:rsidRPr="007F2A01">
        <w:rPr>
          <w:lang w:val="en-GB"/>
        </w:rPr>
        <w:t>In addition to the matters set out above, the provisions of Regulation (EU) 2019/2088 on sustainability-related disclosures in the financial services sector, as amended by Regulation (EU) 2020/852 on the Establishment of a Framework to Facilitate Sustainable Investment (the “</w:t>
      </w:r>
      <w:r w:rsidRPr="007F2A01">
        <w:rPr>
          <w:b/>
          <w:lang w:val="en-GB"/>
        </w:rPr>
        <w:t>Taxonomy Regulation</w:t>
      </w:r>
      <w:r w:rsidRPr="007F2A01">
        <w:rPr>
          <w:lang w:val="en-GB"/>
        </w:rPr>
        <w:t>”), introduce a requirement to disclose whether and, if so, to what extent the Fund's investments are aligned with the Taxonomy Regulation. Accordingly, at the date of this Supplement, the investments underlying the Fund do not take into account the EU criteria for environmentally sustainable economic activities.</w:t>
      </w:r>
    </w:p>
    <w:p w14:paraId="25708B90" w14:textId="2B90A24B" w:rsidR="00381844" w:rsidRPr="007F2A01" w:rsidRDefault="00381844" w:rsidP="00770F75">
      <w:pPr>
        <w:pStyle w:val="BodyText"/>
        <w:rPr>
          <w:lang w:val="en-GB"/>
        </w:rPr>
      </w:pPr>
    </w:p>
    <w:p w14:paraId="69A6E462" w14:textId="77777777" w:rsidR="00381844" w:rsidRPr="007F2A01" w:rsidRDefault="00381844" w:rsidP="00770F75">
      <w:pPr>
        <w:pStyle w:val="BodyText"/>
        <w:rPr>
          <w:b/>
          <w:lang w:val="en-GB"/>
        </w:rPr>
      </w:pPr>
      <w:r w:rsidRPr="007F2A01">
        <w:rPr>
          <w:b/>
          <w:lang w:val="en-GB"/>
        </w:rPr>
        <w:t>Financial Derivative Instruments</w:t>
      </w:r>
    </w:p>
    <w:p w14:paraId="429471F9" w14:textId="0016123D" w:rsidR="00381844" w:rsidRPr="007F2A01" w:rsidRDefault="00381844" w:rsidP="00770F75">
      <w:pPr>
        <w:pStyle w:val="BodyText"/>
        <w:rPr>
          <w:lang w:val="en-GB"/>
        </w:rPr>
      </w:pPr>
    </w:p>
    <w:p w14:paraId="53E52649" w14:textId="77777777" w:rsidR="00381844" w:rsidRPr="007F2A01" w:rsidRDefault="00381844" w:rsidP="00770F75">
      <w:pPr>
        <w:pStyle w:val="BodyText"/>
        <w:rPr>
          <w:lang w:val="en-GB"/>
        </w:rPr>
      </w:pPr>
      <w:r w:rsidRPr="007F2A01">
        <w:rPr>
          <w:lang w:val="en-GB"/>
        </w:rPr>
        <w:t>Except for the use of financial derivative instruments for currency hedging for certain Share Classes, the Fund will not use financial derivative instruments for either investment purposes, or efficient portfolio management. Further information is included below and in the Prospectus.</w:t>
      </w:r>
    </w:p>
    <w:p w14:paraId="18FAADA4" w14:textId="5821A29C" w:rsidR="00381844" w:rsidRPr="007F2A01" w:rsidRDefault="00381844" w:rsidP="00770F75">
      <w:pPr>
        <w:pStyle w:val="BodyText"/>
        <w:rPr>
          <w:lang w:val="en-GB"/>
        </w:rPr>
      </w:pPr>
    </w:p>
    <w:p w14:paraId="26C8FB2B" w14:textId="77777777" w:rsidR="00770F75" w:rsidRPr="007F2A01" w:rsidRDefault="00381844" w:rsidP="00770F75">
      <w:pPr>
        <w:pStyle w:val="BodyText"/>
        <w:rPr>
          <w:b/>
          <w:lang w:val="en-GB"/>
        </w:rPr>
      </w:pPr>
      <w:r w:rsidRPr="007F2A01">
        <w:rPr>
          <w:b/>
          <w:lang w:val="en-GB"/>
        </w:rPr>
        <w:t>Securities Financing Transactions and Total Return Swaps</w:t>
      </w:r>
    </w:p>
    <w:p w14:paraId="43D3920E" w14:textId="3FCDB18E" w:rsidR="00381844" w:rsidRPr="007F2A01" w:rsidRDefault="00381844" w:rsidP="00770F75">
      <w:pPr>
        <w:pStyle w:val="BodyText"/>
        <w:rPr>
          <w:lang w:val="en-GB"/>
        </w:rPr>
      </w:pPr>
    </w:p>
    <w:p w14:paraId="26970EFC" w14:textId="2938F157" w:rsidR="00381844" w:rsidRPr="007F2A01" w:rsidRDefault="00381844" w:rsidP="00770F75">
      <w:pPr>
        <w:pStyle w:val="BodyText"/>
        <w:rPr>
          <w:lang w:val="en-GB"/>
        </w:rPr>
      </w:pPr>
      <w:r w:rsidRPr="007F2A01">
        <w:rPr>
          <w:lang w:val="en-GB"/>
        </w:rPr>
        <w:t xml:space="preserve">The Fund will not engage in Securities Financing Transactions or invest in </w:t>
      </w:r>
      <w:r w:rsidR="001C7594" w:rsidRPr="007F2A01">
        <w:rPr>
          <w:lang w:val="en-GB"/>
        </w:rPr>
        <w:t>Total Return Swaps</w:t>
      </w:r>
      <w:r w:rsidR="00D51010" w:rsidRPr="007F2A01">
        <w:rPr>
          <w:lang w:val="en-GB"/>
        </w:rPr>
        <w:t>.</w:t>
      </w:r>
    </w:p>
    <w:p w14:paraId="3B33C7AE" w14:textId="77777777" w:rsidR="00381844" w:rsidRPr="007F2A01" w:rsidRDefault="00381844" w:rsidP="00770F75">
      <w:pPr>
        <w:pStyle w:val="BodyText"/>
        <w:rPr>
          <w:lang w:val="en-GB"/>
        </w:rPr>
      </w:pPr>
    </w:p>
    <w:p w14:paraId="0C26A29B" w14:textId="1340BF42" w:rsidR="00381844" w:rsidRPr="007F2A01" w:rsidRDefault="00381844" w:rsidP="00770F75">
      <w:pPr>
        <w:pStyle w:val="ListParagraph"/>
        <w:rPr>
          <w:lang w:val="en-GB"/>
        </w:rPr>
      </w:pPr>
      <w:bookmarkStart w:id="7" w:name="_Toc98335006"/>
      <w:bookmarkStart w:id="8" w:name="_Toc172121787"/>
      <w:r w:rsidRPr="007F2A01">
        <w:rPr>
          <w:lang w:val="en-GB"/>
        </w:rPr>
        <w:t>BORROWING</w:t>
      </w:r>
      <w:bookmarkEnd w:id="7"/>
      <w:bookmarkEnd w:id="8"/>
    </w:p>
    <w:p w14:paraId="6AE6E71D" w14:textId="6DB6BF1C" w:rsidR="00381844" w:rsidRPr="007F2A01" w:rsidRDefault="00381844" w:rsidP="00770F75">
      <w:pPr>
        <w:pStyle w:val="BodyText"/>
        <w:rPr>
          <w:lang w:val="en-GB"/>
        </w:rPr>
      </w:pPr>
      <w:r w:rsidRPr="007F2A01">
        <w:rPr>
          <w:lang w:val="en-GB"/>
        </w:rPr>
        <w:t>In accordance with the general provisions set out in the Prospectus under the heading Borrowing and Lending Powers and Restrictions, the Fund may borrow up to 10% of its total Net Asset Value on a temporary basis and not for speculative purposes.</w:t>
      </w:r>
    </w:p>
    <w:p w14:paraId="3FF7A375" w14:textId="77777777" w:rsidR="00770F75" w:rsidRPr="007F2A01" w:rsidRDefault="00770F75" w:rsidP="00770F75">
      <w:pPr>
        <w:pStyle w:val="BodyText"/>
        <w:rPr>
          <w:lang w:val="en-GB"/>
        </w:rPr>
      </w:pPr>
    </w:p>
    <w:p w14:paraId="4A853FA0" w14:textId="77777777" w:rsidR="00D15CE3" w:rsidRPr="007F2A01" w:rsidRDefault="00D15CE3" w:rsidP="00770F75">
      <w:pPr>
        <w:pStyle w:val="ListParagraph"/>
        <w:rPr>
          <w:lang w:val="en-GB"/>
        </w:rPr>
      </w:pPr>
      <w:bookmarkStart w:id="9" w:name="_bookmark1"/>
      <w:bookmarkStart w:id="10" w:name="_bookmark2"/>
      <w:bookmarkStart w:id="11" w:name="_Toc98335007"/>
      <w:bookmarkStart w:id="12" w:name="_Toc172121788"/>
      <w:bookmarkEnd w:id="9"/>
      <w:bookmarkEnd w:id="10"/>
      <w:r w:rsidRPr="007F2A01">
        <w:rPr>
          <w:lang w:val="en-GB"/>
        </w:rPr>
        <w:t>LEVERAGE AND GLOBAL EXPOSURE</w:t>
      </w:r>
      <w:bookmarkEnd w:id="11"/>
      <w:bookmarkEnd w:id="12"/>
    </w:p>
    <w:p w14:paraId="51D5159A" w14:textId="77777777" w:rsidR="00D15CE3" w:rsidRPr="007F2A01" w:rsidRDefault="00D15CE3" w:rsidP="00770F75">
      <w:pPr>
        <w:pStyle w:val="BodyText"/>
        <w:rPr>
          <w:lang w:val="en-GB"/>
        </w:rPr>
      </w:pPr>
      <w:r w:rsidRPr="007F2A01">
        <w:rPr>
          <w:lang w:val="en-GB"/>
        </w:rPr>
        <w:t>The Fund measures global exposure using the commitment approach method. Further information regarding leverage and global exposure is set out in the Prospectus.</w:t>
      </w:r>
    </w:p>
    <w:p w14:paraId="76AA87BD" w14:textId="77777777" w:rsidR="00D15CE3" w:rsidRPr="007F2A01" w:rsidRDefault="00D15CE3" w:rsidP="00770F75">
      <w:pPr>
        <w:pStyle w:val="BodyText"/>
        <w:rPr>
          <w:lang w:val="en-GB"/>
        </w:rPr>
      </w:pPr>
    </w:p>
    <w:p w14:paraId="072652DA" w14:textId="77777777" w:rsidR="00D15CE3" w:rsidRPr="007F2A01" w:rsidRDefault="00D15CE3" w:rsidP="00770F75">
      <w:pPr>
        <w:pStyle w:val="BodyText"/>
        <w:rPr>
          <w:lang w:val="en-GB"/>
        </w:rPr>
      </w:pPr>
      <w:r w:rsidRPr="007F2A01">
        <w:rPr>
          <w:lang w:val="en-GB"/>
        </w:rPr>
        <w:t>The Fund’s expected gross level of leverage is not expected to exceed 100% of the Fund’s Net Asset Value. Whilst the Manager does not expect the level of leverage to exceed this level, leverage levels may vary and may exceed this figure under certain circumstances. Leverage is calculated using the sum of the notional values of all of the FDIs (for currency hedging for certain Share Classes) held by the Fund.</w:t>
      </w:r>
    </w:p>
    <w:p w14:paraId="64452BF7" w14:textId="77777777" w:rsidR="00D15CE3" w:rsidRPr="007F2A01" w:rsidRDefault="00D15CE3" w:rsidP="00770F75">
      <w:pPr>
        <w:pStyle w:val="BodyText"/>
        <w:rPr>
          <w:lang w:val="en-GB"/>
        </w:rPr>
      </w:pPr>
    </w:p>
    <w:p w14:paraId="4CB49A77" w14:textId="77777777" w:rsidR="00D15CE3" w:rsidRPr="007F2A01" w:rsidRDefault="00D15CE3" w:rsidP="00770F75">
      <w:pPr>
        <w:pStyle w:val="ListParagraph"/>
        <w:rPr>
          <w:lang w:val="en-GB"/>
        </w:rPr>
      </w:pPr>
      <w:bookmarkStart w:id="13" w:name="_bookmark3"/>
      <w:bookmarkStart w:id="14" w:name="_Toc98335008"/>
      <w:bookmarkStart w:id="15" w:name="_Toc172121789"/>
      <w:bookmarkEnd w:id="13"/>
      <w:r w:rsidRPr="007F2A01">
        <w:rPr>
          <w:lang w:val="en-GB"/>
        </w:rPr>
        <w:lastRenderedPageBreak/>
        <w:t>INVESTMENT RESTRICTIONS</w:t>
      </w:r>
      <w:bookmarkEnd w:id="14"/>
      <w:bookmarkEnd w:id="15"/>
    </w:p>
    <w:p w14:paraId="7A2F2FE1" w14:textId="6F681319" w:rsidR="00D15CE3" w:rsidRPr="007F2A01" w:rsidRDefault="00D15CE3" w:rsidP="00770F75">
      <w:pPr>
        <w:pStyle w:val="BodyText"/>
        <w:rPr>
          <w:lang w:val="en-GB"/>
        </w:rPr>
      </w:pPr>
      <w:r w:rsidRPr="007F2A01">
        <w:rPr>
          <w:lang w:val="en-GB"/>
        </w:rPr>
        <w:t xml:space="preserve">The investment restrictions applicable to the Fund are set out under the section entitled </w:t>
      </w:r>
      <w:r w:rsidRPr="007F2A01">
        <w:rPr>
          <w:b/>
          <w:lang w:val="en-GB"/>
        </w:rPr>
        <w:t xml:space="preserve">Investment Restrictions </w:t>
      </w:r>
      <w:r w:rsidRPr="007F2A01">
        <w:rPr>
          <w:lang w:val="en-GB"/>
        </w:rPr>
        <w:t xml:space="preserve">in the Prospectus. </w:t>
      </w:r>
    </w:p>
    <w:p w14:paraId="5539245D" w14:textId="77777777" w:rsidR="00770F75" w:rsidRPr="007F2A01" w:rsidRDefault="00770F75" w:rsidP="00770F75">
      <w:pPr>
        <w:pStyle w:val="BodyText"/>
        <w:rPr>
          <w:lang w:val="en-GB"/>
        </w:rPr>
      </w:pPr>
    </w:p>
    <w:p w14:paraId="7F4CBB5A" w14:textId="088F5F4A" w:rsidR="00D15CE3" w:rsidRPr="007F2A01" w:rsidRDefault="00D15CE3" w:rsidP="00770F75">
      <w:pPr>
        <w:pStyle w:val="ListParagraph"/>
        <w:rPr>
          <w:lang w:val="en-GB"/>
        </w:rPr>
      </w:pPr>
      <w:bookmarkStart w:id="16" w:name="_bookmark4"/>
      <w:bookmarkStart w:id="17" w:name="_Toc98335009"/>
      <w:bookmarkStart w:id="18" w:name="_Toc172121790"/>
      <w:bookmarkEnd w:id="16"/>
      <w:r w:rsidRPr="007F2A01">
        <w:rPr>
          <w:lang w:val="en-GB"/>
        </w:rPr>
        <w:t xml:space="preserve">INVESTMENT </w:t>
      </w:r>
      <w:r w:rsidR="00B11C59" w:rsidRPr="007F2A01">
        <w:rPr>
          <w:lang w:val="en-GB"/>
        </w:rPr>
        <w:t>MANAGER</w:t>
      </w:r>
      <w:bookmarkEnd w:id="17"/>
      <w:bookmarkEnd w:id="18"/>
    </w:p>
    <w:p w14:paraId="471A3BC6" w14:textId="77777777" w:rsidR="00E224E2" w:rsidRPr="007F2A01" w:rsidRDefault="00E224E2" w:rsidP="00E224E2">
      <w:pPr>
        <w:pStyle w:val="BodyText"/>
        <w:rPr>
          <w:lang w:val="en-GB"/>
        </w:rPr>
      </w:pPr>
      <w:r w:rsidRPr="007F2A01">
        <w:rPr>
          <w:lang w:val="en-GB"/>
        </w:rPr>
        <w:t>The Manager may, with prior approval from the Central Bank, delegate its functions to third parties.</w:t>
      </w:r>
    </w:p>
    <w:p w14:paraId="377F96C3" w14:textId="77777777" w:rsidR="00E224E2" w:rsidRPr="007F2A01" w:rsidRDefault="00E224E2" w:rsidP="00E224E2">
      <w:pPr>
        <w:pStyle w:val="BodyText"/>
        <w:rPr>
          <w:lang w:val="en-GB"/>
        </w:rPr>
      </w:pPr>
    </w:p>
    <w:p w14:paraId="7130B1CB" w14:textId="045554C5" w:rsidR="00D15CE3" w:rsidRPr="007F2A01" w:rsidRDefault="00E224E2" w:rsidP="00E224E2">
      <w:pPr>
        <w:pStyle w:val="BodyText"/>
        <w:rPr>
          <w:lang w:val="en-GB"/>
        </w:rPr>
      </w:pPr>
      <w:r w:rsidRPr="007F2A01">
        <w:rPr>
          <w:lang w:val="en-GB"/>
        </w:rPr>
        <w:t xml:space="preserve">The Manager has appointed Nanjia Capital Limited as Investment Manager of the Fund. Under the terms of the Investment Management and Distribution Agreement, the Investment Manager is responsible, subject to the overall supervision and control of the Manager, for managing the assets and investments of the ICAV in accordance with the investment objective and policies of each Fund. The fees of the Investment Manager are payable by the Fund and are set out later in this document. Nanjia Capital Limited is regulated and authorised in Hong Kong by the Securities and Futures Commission </w:t>
      </w:r>
      <w:r w:rsidR="007143A5" w:rsidRPr="0074751A">
        <w:rPr>
          <w:lang w:val="en-GB"/>
        </w:rPr>
        <w:t>(“</w:t>
      </w:r>
      <w:r w:rsidR="007143A5" w:rsidRPr="0074751A">
        <w:rPr>
          <w:b/>
          <w:bCs/>
          <w:lang w:val="en-GB"/>
        </w:rPr>
        <w:t>SFC</w:t>
      </w:r>
      <w:r w:rsidR="007143A5" w:rsidRPr="0074751A">
        <w:rPr>
          <w:lang w:val="en-GB"/>
        </w:rPr>
        <w:t xml:space="preserve">”) </w:t>
      </w:r>
      <w:r w:rsidRPr="007F2A01">
        <w:rPr>
          <w:lang w:val="en-GB"/>
        </w:rPr>
        <w:t xml:space="preserve">to undertake </w:t>
      </w:r>
      <w:r w:rsidR="007143A5" w:rsidRPr="007F2A01">
        <w:rPr>
          <w:lang w:val="en-GB"/>
        </w:rPr>
        <w:t xml:space="preserve">Type </w:t>
      </w:r>
      <w:r w:rsidR="007143A5" w:rsidRPr="0074751A">
        <w:rPr>
          <w:lang w:val="en-GB"/>
        </w:rPr>
        <w:t xml:space="preserve">1 (dealing in securities) and </w:t>
      </w:r>
      <w:r w:rsidRPr="0074751A">
        <w:rPr>
          <w:lang w:val="en-GB"/>
        </w:rPr>
        <w:t xml:space="preserve">Type </w:t>
      </w:r>
      <w:r w:rsidRPr="007F2A01">
        <w:rPr>
          <w:lang w:val="en-GB"/>
        </w:rPr>
        <w:t>9 (asset management) regulated activit</w:t>
      </w:r>
      <w:r w:rsidR="007143A5" w:rsidRPr="0074751A">
        <w:rPr>
          <w:lang w:val="en-GB"/>
        </w:rPr>
        <w:t>ies</w:t>
      </w:r>
      <w:r w:rsidRPr="007F2A01">
        <w:rPr>
          <w:lang w:val="en-GB"/>
        </w:rPr>
        <w:t xml:space="preserve"> under the conditions that </w:t>
      </w:r>
      <w:r w:rsidR="007143A5" w:rsidRPr="0074751A">
        <w:rPr>
          <w:lang w:val="en-GB"/>
        </w:rPr>
        <w:t xml:space="preserve">(i) </w:t>
      </w:r>
      <w:r w:rsidR="007143A5" w:rsidRPr="007F2A01">
        <w:rPr>
          <w:lang w:val="en-GB"/>
        </w:rPr>
        <w:t>it shall only provide services to professional investors (as defined in the Hong Kong Securities and Futures Ordinance (Cap 571) (“</w:t>
      </w:r>
      <w:r w:rsidR="007143A5" w:rsidRPr="007F2A01">
        <w:rPr>
          <w:b/>
          <w:lang w:val="en-GB"/>
        </w:rPr>
        <w:t>SFO</w:t>
      </w:r>
      <w:r w:rsidR="007143A5" w:rsidRPr="007F2A01">
        <w:rPr>
          <w:lang w:val="en-GB"/>
        </w:rPr>
        <w:t>”) and its subsidiary legislation</w:t>
      </w:r>
      <w:r w:rsidR="007143A5" w:rsidRPr="0074751A">
        <w:rPr>
          <w:lang w:val="en-GB"/>
        </w:rPr>
        <w:t>), (ii)</w:t>
      </w:r>
      <w:r w:rsidR="007143A5" w:rsidRPr="007F2A01">
        <w:rPr>
          <w:lang w:val="en-GB"/>
        </w:rPr>
        <w:t xml:space="preserve"> it shall not hold client assets (the terms “hold” and “client assets” as defined under the SFO</w:t>
      </w:r>
      <w:r w:rsidR="007143A5" w:rsidRPr="0074751A">
        <w:rPr>
          <w:lang w:val="en-GB"/>
        </w:rPr>
        <w:t>), and (iii) for Type 1 regulated activity, it only communicates offers to effect dealing in securities or makes offers to deal in securities through another intermediary or financial institution that is licensed and/or registered with the SFC for Type 1 regulated activity, or authorities or organizations that perform similar functions and/or regulate banking or other financial services</w:t>
      </w:r>
      <w:r w:rsidRPr="0074751A">
        <w:rPr>
          <w:lang w:val="en-GB"/>
        </w:rPr>
        <w:t>.</w:t>
      </w:r>
    </w:p>
    <w:p w14:paraId="07936436" w14:textId="77777777" w:rsidR="004146D0" w:rsidRPr="007F2A01" w:rsidRDefault="004146D0" w:rsidP="00770F75">
      <w:pPr>
        <w:pStyle w:val="BodyText"/>
        <w:rPr>
          <w:sz w:val="22"/>
          <w:lang w:val="en-GB"/>
        </w:rPr>
      </w:pPr>
    </w:p>
    <w:p w14:paraId="7421A8A6" w14:textId="77777777" w:rsidR="00D15CE3" w:rsidRPr="007F2A01" w:rsidRDefault="00D15CE3" w:rsidP="004146D0">
      <w:pPr>
        <w:pStyle w:val="ListParagraph"/>
        <w:rPr>
          <w:lang w:val="en-GB"/>
        </w:rPr>
      </w:pPr>
      <w:bookmarkStart w:id="19" w:name="_bookmark5"/>
      <w:bookmarkStart w:id="20" w:name="_Toc98335010"/>
      <w:bookmarkStart w:id="21" w:name="_Toc172121791"/>
      <w:bookmarkEnd w:id="19"/>
      <w:r w:rsidRPr="007F2A01">
        <w:rPr>
          <w:lang w:val="en-GB"/>
        </w:rPr>
        <w:t>RISK FACTORS</w:t>
      </w:r>
      <w:bookmarkEnd w:id="20"/>
      <w:bookmarkEnd w:id="21"/>
    </w:p>
    <w:p w14:paraId="7555A374" w14:textId="77777777" w:rsidR="00D15CE3" w:rsidRPr="007F2A01" w:rsidRDefault="00D15CE3" w:rsidP="00770F75">
      <w:pPr>
        <w:pStyle w:val="BodyText"/>
        <w:rPr>
          <w:lang w:val="en-GB"/>
        </w:rPr>
      </w:pPr>
      <w:r w:rsidRPr="007F2A01">
        <w:rPr>
          <w:lang w:val="en-GB"/>
        </w:rPr>
        <w:t xml:space="preserve">The risk factors under the section entitled </w:t>
      </w:r>
      <w:r w:rsidRPr="007F2A01">
        <w:rPr>
          <w:b/>
          <w:lang w:val="en-GB"/>
        </w:rPr>
        <w:t xml:space="preserve">Risk Factors </w:t>
      </w:r>
      <w:r w:rsidRPr="007F2A01">
        <w:rPr>
          <w:lang w:val="en-GB"/>
        </w:rPr>
        <w:t>in the Prospectus apply to this Fund. Prospective investors should review these carefully and raise any questions they have with their advisers.</w:t>
      </w:r>
    </w:p>
    <w:p w14:paraId="716CA10F" w14:textId="77777777" w:rsidR="00D15CE3" w:rsidRPr="007F2A01" w:rsidRDefault="00D15CE3" w:rsidP="00770F75">
      <w:pPr>
        <w:pStyle w:val="BodyText"/>
        <w:rPr>
          <w:lang w:val="en-GB"/>
        </w:rPr>
      </w:pPr>
    </w:p>
    <w:p w14:paraId="6F6BA978" w14:textId="77777777" w:rsidR="00D15CE3" w:rsidRPr="007F2A01" w:rsidRDefault="00D15CE3" w:rsidP="00770F75">
      <w:pPr>
        <w:pStyle w:val="BodyText"/>
        <w:rPr>
          <w:lang w:val="en-GB"/>
        </w:rPr>
      </w:pPr>
      <w:r w:rsidRPr="007F2A01">
        <w:rPr>
          <w:lang w:val="en-GB"/>
        </w:rPr>
        <w:t>Although this is not an exhaustive description of the risks which may apply to an investment in the Fund, prospective investors’ attention is particularly drawn to the following risks, set out in the Prospectus:</w:t>
      </w:r>
    </w:p>
    <w:p w14:paraId="10514587" w14:textId="77777777" w:rsidR="00D15CE3" w:rsidRPr="007F2A01" w:rsidRDefault="00D15CE3" w:rsidP="00770F75">
      <w:pPr>
        <w:pStyle w:val="BodyText"/>
        <w:rPr>
          <w:lang w:val="en-GB"/>
        </w:rPr>
      </w:pPr>
    </w:p>
    <w:p w14:paraId="018D12CD" w14:textId="77777777" w:rsidR="00770F75" w:rsidRPr="007F2A01" w:rsidRDefault="00D15CE3" w:rsidP="00770F75">
      <w:pPr>
        <w:pStyle w:val="BodyText"/>
        <w:numPr>
          <w:ilvl w:val="0"/>
          <w:numId w:val="9"/>
        </w:numPr>
        <w:ind w:left="1134" w:hanging="567"/>
        <w:rPr>
          <w:lang w:val="en-GB"/>
        </w:rPr>
      </w:pPr>
      <w:r w:rsidRPr="007F2A01">
        <w:rPr>
          <w:lang w:val="en-GB"/>
        </w:rPr>
        <w:t xml:space="preserve">Investment risk </w:t>
      </w:r>
    </w:p>
    <w:p w14:paraId="18E4F2EF" w14:textId="1C16ECBC" w:rsidR="00D15CE3" w:rsidRPr="007F2A01" w:rsidRDefault="00D15CE3" w:rsidP="00770F75">
      <w:pPr>
        <w:pStyle w:val="BodyText"/>
        <w:numPr>
          <w:ilvl w:val="0"/>
          <w:numId w:val="9"/>
        </w:numPr>
        <w:ind w:left="1134" w:hanging="567"/>
        <w:rPr>
          <w:lang w:val="en-GB"/>
        </w:rPr>
      </w:pPr>
      <w:r w:rsidRPr="007F2A01">
        <w:rPr>
          <w:lang w:val="en-GB"/>
        </w:rPr>
        <w:t>Market risk</w:t>
      </w:r>
    </w:p>
    <w:p w14:paraId="5A0B1987" w14:textId="77777777" w:rsidR="00770F75" w:rsidRPr="007F2A01" w:rsidRDefault="00D15CE3" w:rsidP="00770F75">
      <w:pPr>
        <w:pStyle w:val="BodyText"/>
        <w:numPr>
          <w:ilvl w:val="0"/>
          <w:numId w:val="9"/>
        </w:numPr>
        <w:ind w:left="1134" w:hanging="567"/>
        <w:rPr>
          <w:lang w:val="en-GB"/>
        </w:rPr>
      </w:pPr>
      <w:r w:rsidRPr="007F2A01">
        <w:rPr>
          <w:lang w:val="en-GB"/>
        </w:rPr>
        <w:t xml:space="preserve">Concentrated portfolio risk </w:t>
      </w:r>
    </w:p>
    <w:p w14:paraId="0366B472" w14:textId="77777777" w:rsidR="00770F75" w:rsidRPr="007F2A01" w:rsidRDefault="00D15CE3" w:rsidP="00770F75">
      <w:pPr>
        <w:pStyle w:val="BodyText"/>
        <w:numPr>
          <w:ilvl w:val="0"/>
          <w:numId w:val="9"/>
        </w:numPr>
        <w:ind w:left="1134" w:hanging="567"/>
        <w:rPr>
          <w:lang w:val="en-GB"/>
        </w:rPr>
      </w:pPr>
      <w:r w:rsidRPr="007F2A01">
        <w:rPr>
          <w:lang w:val="en-GB"/>
        </w:rPr>
        <w:t xml:space="preserve">Equity markets risk </w:t>
      </w:r>
    </w:p>
    <w:p w14:paraId="27AA3359" w14:textId="77777777" w:rsidR="00770F75" w:rsidRPr="007F2A01" w:rsidRDefault="00D15CE3" w:rsidP="00770F75">
      <w:pPr>
        <w:pStyle w:val="BodyText"/>
        <w:numPr>
          <w:ilvl w:val="0"/>
          <w:numId w:val="9"/>
        </w:numPr>
        <w:ind w:left="1134" w:hanging="567"/>
        <w:rPr>
          <w:lang w:val="en-GB"/>
        </w:rPr>
      </w:pPr>
      <w:r w:rsidRPr="007F2A01">
        <w:rPr>
          <w:lang w:val="en-GB"/>
        </w:rPr>
        <w:t xml:space="preserve">Portfolio currency risk </w:t>
      </w:r>
    </w:p>
    <w:p w14:paraId="26229312" w14:textId="77777777" w:rsidR="00770F75" w:rsidRPr="007F2A01" w:rsidRDefault="00D15CE3" w:rsidP="00770F75">
      <w:pPr>
        <w:pStyle w:val="BodyText"/>
        <w:numPr>
          <w:ilvl w:val="0"/>
          <w:numId w:val="9"/>
        </w:numPr>
        <w:ind w:left="1134" w:hanging="567"/>
        <w:rPr>
          <w:lang w:val="en-GB"/>
        </w:rPr>
      </w:pPr>
      <w:r w:rsidRPr="007F2A01">
        <w:rPr>
          <w:lang w:val="en-GB"/>
        </w:rPr>
        <w:t xml:space="preserve">Market capitalisation risk </w:t>
      </w:r>
    </w:p>
    <w:p w14:paraId="5DD9E301" w14:textId="77777777" w:rsidR="00770F75" w:rsidRPr="007F2A01" w:rsidRDefault="00D15CE3" w:rsidP="00770F75">
      <w:pPr>
        <w:pStyle w:val="BodyText"/>
        <w:numPr>
          <w:ilvl w:val="0"/>
          <w:numId w:val="9"/>
        </w:numPr>
        <w:ind w:left="1134" w:hanging="567"/>
        <w:rPr>
          <w:lang w:val="en-GB"/>
        </w:rPr>
      </w:pPr>
      <w:r w:rsidRPr="007F2A01">
        <w:rPr>
          <w:lang w:val="en-GB"/>
        </w:rPr>
        <w:t xml:space="preserve">Emerging market risk </w:t>
      </w:r>
    </w:p>
    <w:p w14:paraId="224878B8" w14:textId="0AE6951A" w:rsidR="00D15CE3" w:rsidRPr="007F2A01" w:rsidRDefault="00D15CE3" w:rsidP="00770F75">
      <w:pPr>
        <w:pStyle w:val="BodyText"/>
        <w:numPr>
          <w:ilvl w:val="0"/>
          <w:numId w:val="9"/>
        </w:numPr>
        <w:ind w:left="1134" w:hanging="567"/>
        <w:rPr>
          <w:lang w:val="en-GB"/>
        </w:rPr>
      </w:pPr>
      <w:r w:rsidRPr="007F2A01">
        <w:rPr>
          <w:lang w:val="en-GB"/>
        </w:rPr>
        <w:t>Liquidity risk</w:t>
      </w:r>
    </w:p>
    <w:p w14:paraId="1264DB95" w14:textId="77777777" w:rsidR="00770F75" w:rsidRPr="007F2A01" w:rsidRDefault="00D15CE3" w:rsidP="00770F75">
      <w:pPr>
        <w:pStyle w:val="BodyText"/>
        <w:numPr>
          <w:ilvl w:val="0"/>
          <w:numId w:val="9"/>
        </w:numPr>
        <w:ind w:left="1134" w:hanging="567"/>
        <w:rPr>
          <w:lang w:val="en-GB"/>
        </w:rPr>
      </w:pPr>
      <w:r w:rsidRPr="007F2A01">
        <w:rPr>
          <w:lang w:val="en-GB"/>
        </w:rPr>
        <w:t xml:space="preserve">Risks associated with investment in other collective investment schemes </w:t>
      </w:r>
    </w:p>
    <w:p w14:paraId="514BDFAB" w14:textId="42488D77" w:rsidR="00D15CE3" w:rsidRPr="007F2A01" w:rsidRDefault="00D15CE3" w:rsidP="00770F75">
      <w:pPr>
        <w:pStyle w:val="BodyText"/>
        <w:numPr>
          <w:ilvl w:val="0"/>
          <w:numId w:val="9"/>
        </w:numPr>
        <w:ind w:left="1134" w:hanging="567"/>
        <w:rPr>
          <w:lang w:val="en-GB"/>
        </w:rPr>
      </w:pPr>
      <w:r w:rsidRPr="007F2A01">
        <w:rPr>
          <w:lang w:val="en-GB"/>
        </w:rPr>
        <w:t>Investment Manager risk</w:t>
      </w:r>
    </w:p>
    <w:p w14:paraId="2D3C9F69" w14:textId="77777777" w:rsidR="00770F75" w:rsidRPr="007F2A01" w:rsidRDefault="00D15CE3" w:rsidP="00770F75">
      <w:pPr>
        <w:pStyle w:val="BodyText"/>
        <w:numPr>
          <w:ilvl w:val="0"/>
          <w:numId w:val="9"/>
        </w:numPr>
        <w:ind w:left="1134" w:hanging="567"/>
        <w:rPr>
          <w:lang w:val="en-GB"/>
        </w:rPr>
      </w:pPr>
      <w:r w:rsidRPr="007F2A01">
        <w:rPr>
          <w:lang w:val="en-GB"/>
        </w:rPr>
        <w:t xml:space="preserve">Reliance on management risk </w:t>
      </w:r>
    </w:p>
    <w:p w14:paraId="04FD61A9" w14:textId="09BC3D30" w:rsidR="00770F75" w:rsidRPr="007F2A01" w:rsidRDefault="00D15CE3" w:rsidP="00770F75">
      <w:pPr>
        <w:pStyle w:val="BodyText"/>
        <w:numPr>
          <w:ilvl w:val="0"/>
          <w:numId w:val="9"/>
        </w:numPr>
        <w:ind w:left="1134" w:hanging="567"/>
        <w:rPr>
          <w:lang w:val="en-GB"/>
        </w:rPr>
      </w:pPr>
      <w:r w:rsidRPr="007F2A01">
        <w:rPr>
          <w:lang w:val="en-GB"/>
        </w:rPr>
        <w:t xml:space="preserve">Legal and regulatory risk </w:t>
      </w:r>
    </w:p>
    <w:p w14:paraId="66D07F22" w14:textId="07984E4A" w:rsidR="00D15CE3" w:rsidRPr="007F2A01" w:rsidRDefault="00D15CE3" w:rsidP="00770F75">
      <w:pPr>
        <w:pStyle w:val="BodyText"/>
        <w:numPr>
          <w:ilvl w:val="0"/>
          <w:numId w:val="9"/>
        </w:numPr>
        <w:ind w:left="1134" w:hanging="567"/>
        <w:rPr>
          <w:lang w:val="en-GB"/>
        </w:rPr>
      </w:pPr>
      <w:r w:rsidRPr="007F2A01">
        <w:rPr>
          <w:lang w:val="en-GB"/>
        </w:rPr>
        <w:t>Taxation risk</w:t>
      </w:r>
    </w:p>
    <w:p w14:paraId="67AA1749" w14:textId="77777777" w:rsidR="00D15CE3" w:rsidRPr="007F2A01" w:rsidRDefault="00D15CE3" w:rsidP="00770F75">
      <w:pPr>
        <w:pStyle w:val="BodyText"/>
        <w:rPr>
          <w:lang w:val="en-GB"/>
        </w:rPr>
      </w:pPr>
    </w:p>
    <w:p w14:paraId="034C46DB" w14:textId="77777777" w:rsidR="00D15CE3" w:rsidRPr="007F2A01" w:rsidRDefault="00D15CE3" w:rsidP="00770F75">
      <w:pPr>
        <w:pStyle w:val="ListParagraph"/>
        <w:rPr>
          <w:lang w:val="en-GB"/>
        </w:rPr>
      </w:pPr>
      <w:bookmarkStart w:id="22" w:name="_bookmark6"/>
      <w:bookmarkStart w:id="23" w:name="_Toc98335011"/>
      <w:bookmarkStart w:id="24" w:name="_Toc172121792"/>
      <w:bookmarkEnd w:id="22"/>
      <w:r w:rsidRPr="007F2A01">
        <w:rPr>
          <w:lang w:val="en-GB"/>
        </w:rPr>
        <w:t>DIVIDEND POLICY</w:t>
      </w:r>
      <w:bookmarkEnd w:id="23"/>
      <w:bookmarkEnd w:id="24"/>
    </w:p>
    <w:p w14:paraId="5CC9B33C" w14:textId="77777777" w:rsidR="00D15CE3" w:rsidRPr="007F2A01" w:rsidRDefault="00D15CE3" w:rsidP="00770F75">
      <w:pPr>
        <w:pStyle w:val="BodyText"/>
        <w:rPr>
          <w:lang w:val="en-GB"/>
        </w:rPr>
      </w:pPr>
      <w:r w:rsidRPr="007F2A01">
        <w:rPr>
          <w:lang w:val="en-GB"/>
        </w:rPr>
        <w:t>It is not intended that any Distributing Shares will be issued and therefore no dividends will be distributed.</w:t>
      </w:r>
    </w:p>
    <w:p w14:paraId="40EDF809" w14:textId="77777777" w:rsidR="00D15CE3" w:rsidRPr="007F2A01" w:rsidRDefault="00D15CE3" w:rsidP="00770F75">
      <w:pPr>
        <w:pStyle w:val="BodyText"/>
        <w:rPr>
          <w:lang w:val="en-GB"/>
        </w:rPr>
      </w:pPr>
    </w:p>
    <w:p w14:paraId="0451590D" w14:textId="77777777" w:rsidR="00D15CE3" w:rsidRPr="007F2A01" w:rsidRDefault="00D15CE3" w:rsidP="00770F75">
      <w:pPr>
        <w:pStyle w:val="ListParagraph"/>
        <w:rPr>
          <w:lang w:val="en-GB"/>
        </w:rPr>
      </w:pPr>
      <w:bookmarkStart w:id="25" w:name="_bookmark7"/>
      <w:bookmarkStart w:id="26" w:name="_Toc98335012"/>
      <w:bookmarkStart w:id="27" w:name="_Toc172121793"/>
      <w:bookmarkEnd w:id="25"/>
      <w:r w:rsidRPr="007F2A01">
        <w:rPr>
          <w:lang w:val="en-GB"/>
        </w:rPr>
        <w:t>TAX STATUS</w:t>
      </w:r>
      <w:bookmarkEnd w:id="26"/>
      <w:bookmarkEnd w:id="27"/>
    </w:p>
    <w:p w14:paraId="73292185" w14:textId="77777777" w:rsidR="00D15CE3" w:rsidRPr="007F2A01" w:rsidRDefault="00D15CE3" w:rsidP="00770F75">
      <w:pPr>
        <w:pStyle w:val="BodyText"/>
        <w:rPr>
          <w:lang w:val="en-GB"/>
        </w:rPr>
      </w:pPr>
      <w:r w:rsidRPr="007F2A01">
        <w:rPr>
          <w:lang w:val="en-GB"/>
        </w:rPr>
        <w:t>Please see the section in the Prospectus entitled “Taxation”.</w:t>
      </w:r>
    </w:p>
    <w:p w14:paraId="340D474B" w14:textId="77777777" w:rsidR="00770F75" w:rsidRPr="007F2A01" w:rsidRDefault="00770F75" w:rsidP="00770F75">
      <w:pPr>
        <w:pStyle w:val="BodyText"/>
        <w:rPr>
          <w:lang w:val="en-GB"/>
        </w:rPr>
      </w:pPr>
    </w:p>
    <w:p w14:paraId="0BF7D8DD" w14:textId="6B4BACF2" w:rsidR="00D15CE3" w:rsidRPr="007F2A01" w:rsidRDefault="00D15CE3" w:rsidP="00770F75">
      <w:pPr>
        <w:pStyle w:val="ListParagraph"/>
        <w:rPr>
          <w:lang w:val="en-GB"/>
        </w:rPr>
      </w:pPr>
      <w:bookmarkStart w:id="28" w:name="_bookmark8"/>
      <w:bookmarkStart w:id="29" w:name="_Toc98335013"/>
      <w:bookmarkStart w:id="30" w:name="_Toc172121794"/>
      <w:bookmarkEnd w:id="28"/>
      <w:r w:rsidRPr="007F2A01">
        <w:rPr>
          <w:lang w:val="en-GB"/>
        </w:rPr>
        <w:t xml:space="preserve">KEY INFORMATION FOR SUBSCRIBING AND REDEEMING </w:t>
      </w:r>
      <w:bookmarkEnd w:id="29"/>
    </w:p>
    <w:p w14:paraId="3E13307E" w14:textId="77777777" w:rsidR="00D15CE3" w:rsidRPr="007F2A01" w:rsidRDefault="00D15CE3" w:rsidP="001E29D5">
      <w:pPr>
        <w:pStyle w:val="BodyText"/>
        <w:rPr>
          <w:b/>
          <w:lang w:val="en-GB"/>
        </w:rPr>
      </w:pPr>
      <w:r w:rsidRPr="007F2A01">
        <w:rPr>
          <w:b/>
          <w:lang w:val="en-GB"/>
        </w:rPr>
        <w:t>Base Currency</w:t>
      </w:r>
      <w:bookmarkEnd w:id="30"/>
    </w:p>
    <w:p w14:paraId="0138204D" w14:textId="77777777" w:rsidR="001E29D5" w:rsidRPr="007F2A01" w:rsidRDefault="001E29D5" w:rsidP="003853EA">
      <w:pPr>
        <w:pStyle w:val="BodyText"/>
        <w:rPr>
          <w:lang w:val="en-GB"/>
        </w:rPr>
      </w:pPr>
    </w:p>
    <w:p w14:paraId="64C53ECE" w14:textId="72069993" w:rsidR="00D15CE3" w:rsidRPr="007F2A01" w:rsidRDefault="00D15CE3" w:rsidP="00770F75">
      <w:pPr>
        <w:pStyle w:val="BodyText"/>
        <w:rPr>
          <w:lang w:val="en-GB"/>
        </w:rPr>
      </w:pPr>
      <w:r w:rsidRPr="007F2A01">
        <w:rPr>
          <w:lang w:val="en-GB"/>
        </w:rPr>
        <w:t>The Base Currency of the Fund is US Dollars but investments and Share Classes may be denominated in other currencies.</w:t>
      </w:r>
    </w:p>
    <w:p w14:paraId="742CFEC4" w14:textId="77777777" w:rsidR="00770F75" w:rsidRPr="007F2A01" w:rsidRDefault="00770F75" w:rsidP="00770F75">
      <w:pPr>
        <w:pStyle w:val="BodyText"/>
        <w:rPr>
          <w:b/>
          <w:lang w:val="en-GB"/>
        </w:rPr>
      </w:pPr>
    </w:p>
    <w:p w14:paraId="7E07462A" w14:textId="77777777" w:rsidR="00D15CE3" w:rsidRPr="007F2A01" w:rsidRDefault="00D15CE3" w:rsidP="00770F75">
      <w:pPr>
        <w:pStyle w:val="BodyText"/>
        <w:rPr>
          <w:b/>
          <w:lang w:val="en-GB"/>
        </w:rPr>
      </w:pPr>
      <w:r w:rsidRPr="007F2A01">
        <w:rPr>
          <w:b/>
          <w:lang w:val="en-GB"/>
        </w:rPr>
        <w:t>Share Classes</w:t>
      </w:r>
    </w:p>
    <w:p w14:paraId="781BB795" w14:textId="77777777" w:rsidR="00D15CE3" w:rsidRPr="007F2A01" w:rsidRDefault="00D15CE3" w:rsidP="00770F75">
      <w:pPr>
        <w:pStyle w:val="BodyText"/>
        <w:rPr>
          <w:lang w:val="en-GB"/>
        </w:rPr>
      </w:pPr>
    </w:p>
    <w:p w14:paraId="5A5ED8EC" w14:textId="77777777" w:rsidR="00D15CE3" w:rsidRPr="007F2A01" w:rsidRDefault="00D15CE3" w:rsidP="00770F75">
      <w:pPr>
        <w:pStyle w:val="BodyText"/>
        <w:rPr>
          <w:lang w:val="en-GB"/>
        </w:rPr>
      </w:pPr>
      <w:r w:rsidRPr="007F2A01">
        <w:rPr>
          <w:lang w:val="en-GB"/>
        </w:rPr>
        <w:t>The ICAV may issue Shares in each of the Share Classes set out below.</w:t>
      </w:r>
    </w:p>
    <w:p w14:paraId="47F09503" w14:textId="77777777" w:rsidR="00770F75" w:rsidRPr="007F2A01" w:rsidRDefault="00770F75" w:rsidP="00770F75">
      <w:pPr>
        <w:pStyle w:val="BodyText"/>
        <w:rPr>
          <w:lang w:val="en-G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519"/>
        <w:gridCol w:w="1361"/>
        <w:gridCol w:w="1362"/>
        <w:gridCol w:w="1362"/>
        <w:gridCol w:w="1362"/>
        <w:gridCol w:w="1362"/>
        <w:gridCol w:w="1501"/>
        <w:gridCol w:w="231"/>
      </w:tblGrid>
      <w:tr w:rsidR="0074751A" w:rsidRPr="0074751A" w14:paraId="52488B5A" w14:textId="3E946075" w:rsidTr="007664C4">
        <w:trPr>
          <w:tblHeader/>
        </w:trPr>
        <w:tc>
          <w:tcPr>
            <w:tcW w:w="15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50F8CDBA" w14:textId="77777777" w:rsidR="007F6FF0" w:rsidRPr="007F2A01" w:rsidRDefault="007F6FF0" w:rsidP="00770F75">
            <w:pPr>
              <w:keepNext/>
              <w:widowControl/>
              <w:jc w:val="left"/>
              <w:rPr>
                <w:b/>
                <w:lang w:val="en-GB"/>
              </w:rPr>
            </w:pPr>
            <w:r w:rsidRPr="007F2A01">
              <w:rPr>
                <w:b/>
                <w:lang w:val="en-GB"/>
              </w:rPr>
              <w:lastRenderedPageBreak/>
              <w:t>Class</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73F92D03" w14:textId="77777777" w:rsidR="007F6FF0" w:rsidRPr="007F2A01" w:rsidRDefault="007F6FF0" w:rsidP="00770F75">
            <w:pPr>
              <w:keepNext/>
              <w:widowControl/>
              <w:jc w:val="left"/>
              <w:rPr>
                <w:b/>
                <w:lang w:val="en-GB"/>
              </w:rPr>
            </w:pPr>
            <w:r w:rsidRPr="007F2A01">
              <w:rPr>
                <w:b/>
                <w:lang w:val="en-GB"/>
              </w:rPr>
              <w:t>F</w:t>
            </w:r>
          </w:p>
        </w:tc>
        <w:tc>
          <w:tcPr>
            <w:tcW w:w="1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3940C121" w14:textId="77777777" w:rsidR="007F6FF0" w:rsidRPr="007F2A01" w:rsidRDefault="007F6FF0" w:rsidP="00770F75">
            <w:pPr>
              <w:keepNext/>
              <w:widowControl/>
              <w:jc w:val="left"/>
              <w:rPr>
                <w:b/>
                <w:lang w:val="en-GB"/>
              </w:rPr>
            </w:pPr>
            <w:r w:rsidRPr="007F2A01">
              <w:rPr>
                <w:b/>
                <w:lang w:val="en-GB"/>
              </w:rPr>
              <w:t>I</w:t>
            </w:r>
          </w:p>
        </w:tc>
        <w:tc>
          <w:tcPr>
            <w:tcW w:w="1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043DDE57" w14:textId="77777777" w:rsidR="007F6FF0" w:rsidRPr="007F2A01" w:rsidRDefault="007F6FF0" w:rsidP="00770F75">
            <w:pPr>
              <w:keepNext/>
              <w:widowControl/>
              <w:jc w:val="left"/>
              <w:rPr>
                <w:b/>
                <w:lang w:val="en-GB"/>
              </w:rPr>
            </w:pPr>
            <w:r w:rsidRPr="007F2A01">
              <w:rPr>
                <w:b/>
                <w:lang w:val="en-GB"/>
              </w:rPr>
              <w:t>S</w:t>
            </w:r>
          </w:p>
        </w:tc>
        <w:tc>
          <w:tcPr>
            <w:tcW w:w="1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548770CB" w14:textId="77777777" w:rsidR="007F6FF0" w:rsidRPr="007F2A01" w:rsidRDefault="007F6FF0" w:rsidP="00770F75">
            <w:pPr>
              <w:keepNext/>
              <w:widowControl/>
              <w:jc w:val="left"/>
              <w:rPr>
                <w:b/>
                <w:lang w:val="en-GB"/>
              </w:rPr>
            </w:pPr>
            <w:r w:rsidRPr="007F2A01">
              <w:rPr>
                <w:b/>
                <w:lang w:val="en-GB"/>
              </w:rPr>
              <w:t>R</w:t>
            </w:r>
          </w:p>
        </w:tc>
        <w:tc>
          <w:tcPr>
            <w:tcW w:w="1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6AFEF6A2" w14:textId="77777777" w:rsidR="007F6FF0" w:rsidRPr="007F2A01" w:rsidRDefault="007F6FF0" w:rsidP="00770F75">
            <w:pPr>
              <w:keepNext/>
              <w:widowControl/>
              <w:jc w:val="left"/>
              <w:rPr>
                <w:b/>
                <w:lang w:val="en-GB"/>
              </w:rPr>
            </w:pPr>
            <w:r w:rsidRPr="007F2A01">
              <w:rPr>
                <w:b/>
                <w:lang w:val="en-GB"/>
              </w:rPr>
              <w:t>J</w:t>
            </w:r>
          </w:p>
        </w:tc>
        <w:tc>
          <w:tcPr>
            <w:tcW w:w="1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tcPr>
          <w:p w14:paraId="5D452B7D" w14:textId="2341C7AB" w:rsidR="007F6FF0" w:rsidRPr="007F2A01" w:rsidRDefault="007F6FF0" w:rsidP="00770F75">
            <w:pPr>
              <w:keepNext/>
              <w:widowControl/>
              <w:jc w:val="left"/>
              <w:rPr>
                <w:b/>
                <w:lang w:val="en-GB"/>
              </w:rPr>
            </w:pPr>
            <w:r w:rsidRPr="007F2A01">
              <w:rPr>
                <w:b/>
                <w:lang w:val="en-GB"/>
              </w:rPr>
              <w:t>A</w:t>
            </w:r>
          </w:p>
        </w:tc>
      </w:tr>
      <w:tr w:rsidR="0074751A" w:rsidRPr="0074751A" w14:paraId="37D458EE" w14:textId="41A24316" w:rsidTr="00D12656">
        <w:trPr>
          <w:gridAfter w:val="1"/>
          <w:wAfter w:w="237" w:type="dxa"/>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16E81E" w14:textId="77777777" w:rsidR="007F6FF0" w:rsidRPr="007F2A01" w:rsidRDefault="007F6FF0" w:rsidP="003853EA">
            <w:pPr>
              <w:widowControl/>
              <w:spacing w:after="240"/>
              <w:jc w:val="left"/>
              <w:rPr>
                <w:b/>
                <w:lang w:val="en-GB"/>
              </w:rPr>
            </w:pPr>
            <w:r w:rsidRPr="007F2A01">
              <w:rPr>
                <w:b/>
                <w:lang w:val="en-GB"/>
              </w:rPr>
              <w:t>Investor Restrictions</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D39A5E" w14:textId="4FFE7776" w:rsidR="007F6FF0" w:rsidRPr="007F2A01" w:rsidRDefault="007F6FF0" w:rsidP="007F2A01">
            <w:pPr>
              <w:widowControl/>
              <w:spacing w:after="240"/>
              <w:jc w:val="left"/>
              <w:rPr>
                <w:lang w:val="en-GB"/>
              </w:rPr>
            </w:pPr>
            <w:r w:rsidRPr="007F2A01">
              <w:rPr>
                <w:lang w:val="en-GB"/>
              </w:rPr>
              <w:t xml:space="preserve">Founder share class is only open to certain financial institutions and individual investors who have entered into an agreement with the </w:t>
            </w:r>
            <w:r w:rsidR="007359E9" w:rsidRPr="0074751A">
              <w:rPr>
                <w:lang w:val="en-GB"/>
              </w:rPr>
              <w:t xml:space="preserve">Investment </w:t>
            </w:r>
            <w:r w:rsidRPr="007F2A01">
              <w:rPr>
                <w:lang w:val="en-GB"/>
              </w:rPr>
              <w:t>Manager</w:t>
            </w:r>
            <w:r w:rsidRPr="0074751A">
              <w:rPr>
                <w:lang w:val="en-GB"/>
              </w:rPr>
              <w:t>.</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D5EF52" w14:textId="77777777" w:rsidR="007F6FF0" w:rsidRPr="007F2A01" w:rsidRDefault="007F6FF0" w:rsidP="003853EA">
            <w:pPr>
              <w:widowControl/>
              <w:spacing w:after="240"/>
              <w:jc w:val="left"/>
              <w:rPr>
                <w:lang w:val="en-GB"/>
              </w:rPr>
            </w:pPr>
            <w:r w:rsidRPr="007F2A01">
              <w:rPr>
                <w:lang w:val="en-GB"/>
              </w:rPr>
              <w:t>Institutional investors.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4B2190" w14:textId="77777777" w:rsidR="007F6FF0" w:rsidRPr="007F2A01" w:rsidRDefault="007F6FF0" w:rsidP="003853EA">
            <w:pPr>
              <w:widowControl/>
              <w:spacing w:after="240"/>
              <w:jc w:val="left"/>
              <w:rPr>
                <w:lang w:val="en-GB"/>
              </w:rPr>
            </w:pPr>
            <w:r w:rsidRPr="007F2A01">
              <w:rPr>
                <w:lang w:val="en-GB"/>
              </w:rPr>
              <w:t>Retail investors.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53660F" w14:textId="77777777" w:rsidR="007F6FF0" w:rsidRPr="007F2A01" w:rsidRDefault="007F6FF0" w:rsidP="003853EA">
            <w:pPr>
              <w:widowControl/>
              <w:spacing w:after="240"/>
              <w:jc w:val="left"/>
              <w:rPr>
                <w:lang w:val="en-GB"/>
              </w:rPr>
            </w:pPr>
            <w:r w:rsidRPr="007F2A01">
              <w:rPr>
                <w:lang w:val="en-GB"/>
              </w:rPr>
              <w:t>Retail investors.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7F11A2" w14:textId="77777777" w:rsidR="007F6FF0" w:rsidRPr="007F2A01" w:rsidRDefault="007F6FF0" w:rsidP="003853EA">
            <w:pPr>
              <w:widowControl/>
              <w:spacing w:after="240"/>
              <w:jc w:val="left"/>
              <w:rPr>
                <w:lang w:val="en-GB"/>
              </w:rPr>
            </w:pPr>
            <w:r w:rsidRPr="007F2A01">
              <w:rPr>
                <w:lang w:val="en-GB"/>
              </w:rPr>
              <w:t>Retail investors.</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F47352" w14:textId="260089B3" w:rsidR="007F6FF0" w:rsidRPr="007F2A01" w:rsidRDefault="007F6FF0" w:rsidP="003853EA">
            <w:pPr>
              <w:widowControl/>
              <w:spacing w:after="240"/>
              <w:jc w:val="left"/>
              <w:rPr>
                <w:lang w:val="en-GB"/>
              </w:rPr>
            </w:pPr>
            <w:r w:rsidRPr="007F2A01">
              <w:rPr>
                <w:lang w:val="en-GB"/>
              </w:rPr>
              <w:t>Institutional investors.</w:t>
            </w:r>
          </w:p>
        </w:tc>
      </w:tr>
      <w:tr w:rsidR="0074751A" w:rsidRPr="0074751A" w14:paraId="6923E54C" w14:textId="24F8B97A" w:rsidTr="00D12656">
        <w:trPr>
          <w:gridAfter w:val="1"/>
          <w:wAfter w:w="237" w:type="dxa"/>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647D92" w14:textId="77777777" w:rsidR="007F6FF0" w:rsidRPr="007F2A01" w:rsidRDefault="007F6FF0" w:rsidP="003853EA">
            <w:pPr>
              <w:widowControl/>
              <w:spacing w:after="240"/>
              <w:jc w:val="left"/>
              <w:rPr>
                <w:b/>
                <w:lang w:val="en-GB"/>
              </w:rPr>
            </w:pPr>
            <w:r w:rsidRPr="007F2A01">
              <w:rPr>
                <w:b/>
                <w:lang w:val="en-GB"/>
              </w:rPr>
              <w:t>Currencies available</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9F067A" w14:textId="015AFC50" w:rsidR="007F6FF0" w:rsidRPr="007F2A01" w:rsidRDefault="007F6FF0" w:rsidP="003853EA">
            <w:pPr>
              <w:widowControl/>
              <w:spacing w:after="240"/>
              <w:jc w:val="left"/>
              <w:rPr>
                <w:lang w:val="en-GB"/>
              </w:rPr>
            </w:pPr>
            <w:r w:rsidRPr="007F2A01">
              <w:rPr>
                <w:lang w:val="en-GB"/>
              </w:rPr>
              <w:t>US$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564D27" w14:textId="223844B5" w:rsidR="007F6FF0" w:rsidRPr="007F2A01" w:rsidRDefault="007F6FF0" w:rsidP="003853EA">
            <w:pPr>
              <w:widowControl/>
              <w:spacing w:after="240"/>
              <w:jc w:val="left"/>
              <w:rPr>
                <w:lang w:val="en-GB"/>
              </w:rPr>
            </w:pPr>
            <w:r w:rsidRPr="007F2A01">
              <w:rPr>
                <w:lang w:val="en-GB"/>
              </w:rPr>
              <w:t>US$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AC83B" w14:textId="77777777" w:rsidR="007F6FF0" w:rsidRPr="007F2A01" w:rsidRDefault="007F6FF0" w:rsidP="007F6FF0">
            <w:pPr>
              <w:widowControl/>
              <w:jc w:val="left"/>
              <w:rPr>
                <w:lang w:val="en-GB"/>
              </w:rPr>
            </w:pPr>
            <w:r w:rsidRPr="007F2A01">
              <w:rPr>
                <w:lang w:val="en-GB"/>
              </w:rPr>
              <w:t>US$</w:t>
            </w:r>
          </w:p>
          <w:p w14:paraId="62404B09" w14:textId="77777777" w:rsidR="007F6FF0" w:rsidRPr="007F2A01" w:rsidRDefault="007F6FF0" w:rsidP="007F6FF0">
            <w:pPr>
              <w:widowControl/>
              <w:jc w:val="left"/>
              <w:rPr>
                <w:lang w:val="en-GB"/>
              </w:rPr>
            </w:pPr>
            <w:r w:rsidRPr="007F2A01">
              <w:rPr>
                <w:lang w:val="en-GB"/>
              </w:rPr>
              <w:t>GBP</w:t>
            </w:r>
          </w:p>
          <w:p w14:paraId="713C2370" w14:textId="3AA3CF02" w:rsidR="007F6FF0" w:rsidRPr="007F2A01" w:rsidRDefault="007F6FF0" w:rsidP="007F6FF0">
            <w:pPr>
              <w:widowControl/>
              <w:jc w:val="left"/>
              <w:rPr>
                <w:lang w:val="en-GB"/>
              </w:rPr>
            </w:pPr>
            <w:r w:rsidRPr="007F2A01">
              <w:rPr>
                <w:lang w:val="en-GB"/>
              </w:rPr>
              <w:t>Singapore Dollar</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85BC0F" w14:textId="6628149B" w:rsidR="007F6FF0" w:rsidRPr="007F2A01" w:rsidRDefault="007F6FF0" w:rsidP="007F6FF0">
            <w:pPr>
              <w:widowControl/>
              <w:jc w:val="left"/>
              <w:rPr>
                <w:lang w:val="en-GB"/>
              </w:rPr>
            </w:pPr>
            <w:r w:rsidRPr="007F2A01">
              <w:rPr>
                <w:lang w:val="en-GB"/>
              </w:rPr>
              <w:t>GBP</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8C90E6" w14:textId="77777777" w:rsidR="007F6FF0" w:rsidRPr="007F2A01" w:rsidRDefault="007F6FF0" w:rsidP="007F6FF0">
            <w:pPr>
              <w:widowControl/>
              <w:jc w:val="left"/>
              <w:rPr>
                <w:lang w:val="en-GB"/>
              </w:rPr>
            </w:pPr>
            <w:r w:rsidRPr="007F2A01">
              <w:rPr>
                <w:lang w:val="en-GB"/>
              </w:rPr>
              <w:t>US$</w:t>
            </w:r>
          </w:p>
          <w:p w14:paraId="799F8E5C" w14:textId="77777777" w:rsidR="007F6FF0" w:rsidRPr="007F2A01" w:rsidRDefault="007F6FF0" w:rsidP="007F6FF0">
            <w:pPr>
              <w:widowControl/>
              <w:jc w:val="left"/>
              <w:rPr>
                <w:lang w:val="en-GB"/>
              </w:rPr>
            </w:pPr>
            <w:r w:rsidRPr="007F2A01">
              <w:rPr>
                <w:lang w:val="en-GB"/>
              </w:rPr>
              <w:t>GBP</w:t>
            </w:r>
          </w:p>
          <w:p w14:paraId="79255235" w14:textId="77777777" w:rsidR="007F6FF0" w:rsidRPr="007F2A01" w:rsidRDefault="007F6FF0" w:rsidP="007F6FF0">
            <w:pPr>
              <w:widowControl/>
              <w:jc w:val="left"/>
              <w:rPr>
                <w:lang w:val="en-GB"/>
              </w:rPr>
            </w:pPr>
            <w:r w:rsidRPr="007F2A01">
              <w:rPr>
                <w:lang w:val="en-GB"/>
              </w:rPr>
              <w:t>Euro</w:t>
            </w:r>
          </w:p>
          <w:p w14:paraId="7039C19B" w14:textId="77777777" w:rsidR="007F6FF0" w:rsidRPr="0074751A" w:rsidRDefault="007F6FF0" w:rsidP="007664C4">
            <w:pPr>
              <w:widowControl/>
              <w:jc w:val="left"/>
              <w:rPr>
                <w:lang w:val="en-GB"/>
              </w:rPr>
            </w:pPr>
            <w:r w:rsidRPr="007F2A01">
              <w:rPr>
                <w:lang w:val="en-GB"/>
              </w:rPr>
              <w:t>Singapore Dollar</w:t>
            </w:r>
          </w:p>
          <w:p w14:paraId="68E9B725" w14:textId="72C54C0B" w:rsidR="007F6FF0" w:rsidRPr="007F2A01" w:rsidRDefault="007F6FF0" w:rsidP="007F6FF0">
            <w:pPr>
              <w:widowControl/>
              <w:jc w:val="left"/>
              <w:rPr>
                <w:lang w:val="en-GB"/>
              </w:rPr>
            </w:pP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AF57A3" w14:textId="77777777" w:rsidR="007F6FF0" w:rsidRPr="007F2A01" w:rsidRDefault="007F6FF0" w:rsidP="007F6FF0">
            <w:pPr>
              <w:widowControl/>
              <w:jc w:val="left"/>
              <w:rPr>
                <w:lang w:val="en-GB"/>
              </w:rPr>
            </w:pPr>
            <w:r w:rsidRPr="007F2A01">
              <w:rPr>
                <w:lang w:val="en-GB"/>
              </w:rPr>
              <w:t>US$</w:t>
            </w:r>
          </w:p>
          <w:p w14:paraId="74F048FF" w14:textId="0CD74DAD" w:rsidR="007F6FF0" w:rsidRPr="007F2A01" w:rsidRDefault="007F6FF0" w:rsidP="007F6FF0">
            <w:pPr>
              <w:widowControl/>
              <w:jc w:val="left"/>
              <w:rPr>
                <w:lang w:val="en-GB"/>
              </w:rPr>
            </w:pPr>
          </w:p>
        </w:tc>
      </w:tr>
      <w:tr w:rsidR="0074751A" w:rsidRPr="0074751A" w:rsidDel="00505F11" w14:paraId="607E5D5C" w14:textId="412D4A02" w:rsidTr="00D12656">
        <w:trPr>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0932A" w14:textId="77777777" w:rsidR="007F6FF0" w:rsidRPr="007F2A01" w:rsidDel="00505F11" w:rsidRDefault="007F6FF0" w:rsidP="003853EA">
            <w:pPr>
              <w:widowControl/>
              <w:spacing w:after="240"/>
              <w:jc w:val="left"/>
              <w:rPr>
                <w:b/>
                <w:lang w:val="en-GB"/>
              </w:rPr>
            </w:pPr>
            <w:r w:rsidRPr="007F2A01">
              <w:rPr>
                <w:b/>
                <w:lang w:val="en-GB"/>
              </w:rPr>
              <w:t>Platform fee (percentage of NAV)</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BA8414" w14:textId="77777777" w:rsidR="007F6FF0" w:rsidRPr="007F2A01" w:rsidDel="00505F11" w:rsidRDefault="007F6FF0" w:rsidP="003853EA">
            <w:pPr>
              <w:widowControl/>
              <w:spacing w:after="240"/>
              <w:jc w:val="left"/>
              <w:rPr>
                <w:lang w:val="en-GB"/>
              </w:rPr>
            </w:pPr>
            <w:r w:rsidRPr="007F2A01">
              <w:rPr>
                <w:lang w:val="en-GB"/>
              </w:rPr>
              <w:t>0.15% per annum.</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69DA99" w14:textId="77777777" w:rsidR="007F6FF0" w:rsidRPr="007F2A01" w:rsidDel="00505F11" w:rsidRDefault="007F6FF0" w:rsidP="003853EA">
            <w:pPr>
              <w:widowControl/>
              <w:spacing w:after="240"/>
              <w:jc w:val="left"/>
              <w:rPr>
                <w:lang w:val="en-GB"/>
              </w:rPr>
            </w:pPr>
            <w:r w:rsidRPr="007F2A01">
              <w:rPr>
                <w:lang w:val="en-GB"/>
              </w:rPr>
              <w:t>0.15% per annum.</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F3BF48" w14:textId="77777777" w:rsidR="007F6FF0" w:rsidRPr="007F2A01" w:rsidDel="00505F11" w:rsidRDefault="007F6FF0" w:rsidP="003853EA">
            <w:pPr>
              <w:widowControl/>
              <w:spacing w:after="240"/>
              <w:jc w:val="left"/>
              <w:rPr>
                <w:lang w:val="en-GB"/>
              </w:rPr>
            </w:pPr>
            <w:r w:rsidRPr="007F2A01">
              <w:rPr>
                <w:lang w:val="en-GB"/>
              </w:rPr>
              <w:t>0.15% per annum.</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FDDA44" w14:textId="77777777" w:rsidR="007F6FF0" w:rsidRPr="007F2A01" w:rsidRDefault="007F6FF0" w:rsidP="003853EA">
            <w:pPr>
              <w:widowControl/>
              <w:spacing w:after="240"/>
              <w:jc w:val="left"/>
              <w:rPr>
                <w:lang w:val="en-GB"/>
              </w:rPr>
            </w:pPr>
            <w:r w:rsidRPr="007F2A01">
              <w:rPr>
                <w:lang w:val="en-GB"/>
              </w:rPr>
              <w:t>0.15% per annum.</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AB2385" w14:textId="77777777" w:rsidR="007F6FF0" w:rsidRPr="007F2A01" w:rsidDel="00505F11" w:rsidRDefault="007F6FF0" w:rsidP="003853EA">
            <w:pPr>
              <w:widowControl/>
              <w:spacing w:after="240"/>
              <w:jc w:val="left"/>
              <w:rPr>
                <w:lang w:val="en-GB"/>
              </w:rPr>
            </w:pPr>
            <w:r w:rsidRPr="007F2A01">
              <w:rPr>
                <w:lang w:val="en-GB"/>
              </w:rPr>
              <w:t>0.15% per annum.</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7D13CF" w14:textId="3E3A23CB" w:rsidR="007F6FF0" w:rsidRPr="007F2A01" w:rsidRDefault="007F6FF0" w:rsidP="003853EA">
            <w:pPr>
              <w:widowControl/>
              <w:spacing w:after="240"/>
              <w:jc w:val="left"/>
              <w:rPr>
                <w:lang w:val="en-GB"/>
              </w:rPr>
            </w:pPr>
            <w:r w:rsidRPr="007F2A01">
              <w:rPr>
                <w:lang w:val="en-GB"/>
              </w:rPr>
              <w:t>0.15% per annum.</w:t>
            </w:r>
          </w:p>
        </w:tc>
      </w:tr>
      <w:tr w:rsidR="0074751A" w:rsidRPr="0074751A" w14:paraId="1A31FE1C" w14:textId="366DA0F3" w:rsidTr="00D12656">
        <w:trPr>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08D87" w14:textId="77777777" w:rsidR="007F6FF0" w:rsidRPr="007F2A01" w:rsidRDefault="007F6FF0" w:rsidP="003853EA">
            <w:pPr>
              <w:widowControl/>
              <w:spacing w:after="240"/>
              <w:jc w:val="left"/>
              <w:rPr>
                <w:b/>
                <w:lang w:val="en-GB"/>
              </w:rPr>
            </w:pPr>
            <w:r w:rsidRPr="007F2A01">
              <w:rPr>
                <w:b/>
                <w:lang w:val="en-GB"/>
              </w:rPr>
              <w:t>Investment Manager Fee (percentage of NAV)</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25E97" w14:textId="77777777" w:rsidR="007F6FF0" w:rsidRPr="007F2A01" w:rsidRDefault="007F6FF0" w:rsidP="003853EA">
            <w:pPr>
              <w:widowControl/>
              <w:spacing w:after="240"/>
              <w:jc w:val="left"/>
              <w:rPr>
                <w:lang w:val="en-GB"/>
              </w:rPr>
            </w:pPr>
            <w:r w:rsidRPr="007F2A01">
              <w:rPr>
                <w:lang w:val="en-GB"/>
              </w:rPr>
              <w:t>0.5%</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83AC15" w14:textId="77777777" w:rsidR="007F6FF0" w:rsidRPr="007F2A01" w:rsidRDefault="007F6FF0" w:rsidP="003853EA">
            <w:pPr>
              <w:widowControl/>
              <w:spacing w:after="240"/>
              <w:jc w:val="left"/>
              <w:rPr>
                <w:lang w:val="en-GB"/>
              </w:rPr>
            </w:pPr>
            <w:r w:rsidRPr="007F2A01">
              <w:rPr>
                <w:lang w:val="en-GB"/>
              </w:rPr>
              <w:t>1%</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6D8AAD" w14:textId="77777777" w:rsidR="007F6FF0" w:rsidRPr="007F2A01" w:rsidRDefault="007F6FF0" w:rsidP="003853EA">
            <w:pPr>
              <w:widowControl/>
              <w:spacing w:after="240"/>
              <w:jc w:val="left"/>
              <w:rPr>
                <w:lang w:val="en-GB"/>
              </w:rPr>
            </w:pPr>
            <w:r w:rsidRPr="007F2A01">
              <w:rPr>
                <w:lang w:val="en-GB"/>
              </w:rPr>
              <w:t>1.75%</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6E0202" w14:textId="583D0821" w:rsidR="007F6FF0" w:rsidRPr="007F2A01" w:rsidRDefault="007F6FF0" w:rsidP="003853EA">
            <w:pPr>
              <w:widowControl/>
              <w:spacing w:after="240"/>
              <w:jc w:val="left"/>
              <w:rPr>
                <w:lang w:val="en-GB"/>
              </w:rPr>
            </w:pPr>
            <w:r w:rsidRPr="007F2A01">
              <w:rPr>
                <w:lang w:val="en-GB"/>
              </w:rPr>
              <w:t>1.9%</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500DE7" w14:textId="77777777" w:rsidR="007F6FF0" w:rsidRPr="007F2A01" w:rsidRDefault="007F6FF0" w:rsidP="003853EA">
            <w:pPr>
              <w:widowControl/>
              <w:spacing w:after="240"/>
              <w:jc w:val="left"/>
              <w:rPr>
                <w:lang w:val="en-GB"/>
              </w:rPr>
            </w:pPr>
            <w:r w:rsidRPr="007F2A01">
              <w:rPr>
                <w:lang w:val="en-GB"/>
              </w:rPr>
              <w:t>2%</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C45F53" w14:textId="577BEE46" w:rsidR="007F6FF0" w:rsidRPr="007F2A01" w:rsidRDefault="007F6FF0" w:rsidP="003853EA">
            <w:pPr>
              <w:widowControl/>
              <w:spacing w:after="240"/>
              <w:jc w:val="left"/>
              <w:rPr>
                <w:lang w:val="en-GB"/>
              </w:rPr>
            </w:pPr>
            <w:r w:rsidRPr="007F2A01">
              <w:rPr>
                <w:lang w:val="en-GB"/>
              </w:rPr>
              <w:t>1%</w:t>
            </w:r>
          </w:p>
        </w:tc>
      </w:tr>
      <w:tr w:rsidR="0074751A" w:rsidRPr="0074751A" w14:paraId="56211CA9" w14:textId="5689B84F" w:rsidTr="00D12656">
        <w:trPr>
          <w:gridAfter w:val="1"/>
          <w:wAfter w:w="237" w:type="dxa"/>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EE2B94" w14:textId="77777777" w:rsidR="007F6FF0" w:rsidRPr="007F2A01" w:rsidRDefault="007F6FF0" w:rsidP="003853EA">
            <w:pPr>
              <w:widowControl/>
              <w:spacing w:after="240"/>
              <w:jc w:val="left"/>
              <w:rPr>
                <w:b/>
                <w:lang w:val="en-GB"/>
              </w:rPr>
            </w:pPr>
            <w:r w:rsidRPr="007F2A01">
              <w:rPr>
                <w:b/>
                <w:lang w:val="en-GB"/>
              </w:rPr>
              <w:t>Hedging</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0A7F79" w14:textId="2AAB7898" w:rsidR="007F6FF0" w:rsidRPr="007F2A01" w:rsidRDefault="00A05F4E" w:rsidP="003853EA">
            <w:pPr>
              <w:widowControl/>
              <w:spacing w:after="240"/>
              <w:jc w:val="left"/>
              <w:rPr>
                <w:lang w:val="en-GB"/>
              </w:rPr>
            </w:pPr>
            <w:r w:rsidRPr="0074751A">
              <w:rPr>
                <w:lang w:val="en-GB"/>
              </w:rPr>
              <w:t>No.</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0F7047" w14:textId="0F3E237B" w:rsidR="007F6FF0" w:rsidRPr="0074751A" w:rsidRDefault="00A05F4E" w:rsidP="00D2425F">
            <w:pPr>
              <w:widowControl/>
              <w:spacing w:after="240"/>
              <w:jc w:val="left"/>
              <w:rPr>
                <w:lang w:val="en-GB"/>
              </w:rPr>
            </w:pPr>
            <w:r w:rsidRPr="0074751A">
              <w:rPr>
                <w:lang w:val="en-GB"/>
              </w:rPr>
              <w:t>No.</w:t>
            </w:r>
          </w:p>
          <w:p w14:paraId="23C92586" w14:textId="1E1C44B1" w:rsidR="007F6FF0" w:rsidRPr="007F2A01" w:rsidRDefault="00A05F4E" w:rsidP="003853EA">
            <w:pPr>
              <w:widowControl/>
              <w:spacing w:after="240"/>
              <w:jc w:val="left"/>
              <w:rPr>
                <w:lang w:val="en-GB"/>
              </w:rPr>
            </w:pPr>
            <w:r w:rsidRPr="0074751A">
              <w:rPr>
                <w:lang w:val="en-GB"/>
              </w:rPr>
              <w:t xml:space="preserve"> </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B14631" w14:textId="5DE3EB5E" w:rsidR="007F6FF0" w:rsidRPr="007F2A01" w:rsidRDefault="007F6FF0" w:rsidP="003853EA">
            <w:pPr>
              <w:widowControl/>
              <w:spacing w:after="240"/>
              <w:jc w:val="left"/>
              <w:rPr>
                <w:lang w:val="en-GB"/>
              </w:rPr>
            </w:pPr>
            <w:r w:rsidRPr="007F2A01">
              <w:rPr>
                <w:lang w:val="en-GB"/>
              </w:rPr>
              <w:t>Yes, in GBP and Singapore Dollar classes.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DEAEB4" w14:textId="0BC94C25" w:rsidR="007F6FF0" w:rsidRPr="007F2A01" w:rsidRDefault="007F6FF0" w:rsidP="003853EA">
            <w:pPr>
              <w:widowControl/>
              <w:spacing w:after="240"/>
              <w:jc w:val="left"/>
              <w:rPr>
                <w:lang w:val="en-GB"/>
              </w:rPr>
            </w:pPr>
            <w:r w:rsidRPr="0074751A">
              <w:rPr>
                <w:lang w:val="en-GB"/>
              </w:rPr>
              <w:t>Yes.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0EE41" w14:textId="77777777" w:rsidR="007F6FF0" w:rsidRPr="007F2A01" w:rsidRDefault="007F6FF0" w:rsidP="003853EA">
            <w:pPr>
              <w:widowControl/>
              <w:spacing w:after="240"/>
              <w:jc w:val="left"/>
              <w:rPr>
                <w:lang w:val="en-GB"/>
              </w:rPr>
            </w:pPr>
            <w:r w:rsidRPr="007F2A01">
              <w:rPr>
                <w:lang w:val="en-GB"/>
              </w:rPr>
              <w:t>Yes, in GBP, Euro, and Singapore Dollar classes.</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70A1A3" w14:textId="447AD67F" w:rsidR="007F6FF0" w:rsidRPr="007F2A01" w:rsidRDefault="00A05F4E" w:rsidP="003853EA">
            <w:pPr>
              <w:widowControl/>
              <w:spacing w:after="240"/>
              <w:jc w:val="left"/>
              <w:rPr>
                <w:lang w:val="en-GB"/>
              </w:rPr>
            </w:pPr>
            <w:r w:rsidRPr="0074751A">
              <w:rPr>
                <w:lang w:val="en-GB"/>
              </w:rPr>
              <w:t>No.</w:t>
            </w:r>
          </w:p>
        </w:tc>
      </w:tr>
      <w:tr w:rsidR="0074751A" w:rsidRPr="0074751A" w14:paraId="4DC80718" w14:textId="07F5DC7C" w:rsidTr="00D12656">
        <w:trPr>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55728F" w14:textId="77777777" w:rsidR="007F6FF0" w:rsidRPr="007F2A01" w:rsidRDefault="007F6FF0" w:rsidP="003853EA">
            <w:pPr>
              <w:widowControl/>
              <w:spacing w:after="240"/>
              <w:jc w:val="left"/>
              <w:rPr>
                <w:b/>
                <w:lang w:val="en-GB"/>
              </w:rPr>
            </w:pPr>
            <w:r w:rsidRPr="007F2A01">
              <w:rPr>
                <w:b/>
                <w:lang w:val="en-GB"/>
              </w:rPr>
              <w:t>Subscription Fee</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18B8C2" w14:textId="77777777" w:rsidR="007F6FF0" w:rsidRPr="007F2A01" w:rsidRDefault="007F6FF0" w:rsidP="003853EA">
            <w:pPr>
              <w:widowControl/>
              <w:spacing w:after="240"/>
              <w:jc w:val="left"/>
              <w:rPr>
                <w:lang w:val="en-GB"/>
              </w:rPr>
            </w:pPr>
            <w:r w:rsidRPr="007F2A01">
              <w:rPr>
                <w:lang w:val="en-GB"/>
              </w:rPr>
              <w:t>Not currently charged.</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74B806" w14:textId="77777777" w:rsidR="007F6FF0" w:rsidRPr="007F2A01" w:rsidRDefault="007F6FF0" w:rsidP="003853EA">
            <w:pPr>
              <w:widowControl/>
              <w:spacing w:after="240"/>
              <w:jc w:val="left"/>
              <w:rPr>
                <w:lang w:val="en-GB"/>
              </w:rPr>
            </w:pPr>
            <w:r w:rsidRPr="007F2A01">
              <w:rPr>
                <w:lang w:val="en-GB"/>
              </w:rPr>
              <w:t>Not currently charged.</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C4BE4F" w14:textId="77777777" w:rsidR="007F6FF0" w:rsidRPr="007F2A01" w:rsidRDefault="007F6FF0" w:rsidP="003853EA">
            <w:pPr>
              <w:widowControl/>
              <w:spacing w:after="240"/>
              <w:jc w:val="left"/>
              <w:rPr>
                <w:lang w:val="en-GB"/>
              </w:rPr>
            </w:pPr>
            <w:r w:rsidRPr="007F2A01">
              <w:rPr>
                <w:lang w:val="en-GB"/>
              </w:rPr>
              <w:t>Up to 5% of subscription monies.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C5A78D" w14:textId="5DB2D419" w:rsidR="007F6FF0" w:rsidRPr="007F2A01" w:rsidRDefault="007F6FF0" w:rsidP="003853EA">
            <w:pPr>
              <w:widowControl/>
              <w:spacing w:after="240"/>
              <w:jc w:val="left"/>
              <w:rPr>
                <w:lang w:val="en-GB"/>
              </w:rPr>
            </w:pPr>
            <w:r w:rsidRPr="007F2A01">
              <w:rPr>
                <w:lang w:val="en-GB"/>
              </w:rPr>
              <w:t>A contingent deferred subscription charge may be payable in respect of subscriptions for this Class, further details of which are set out below.</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B9B7AB" w14:textId="7225F093" w:rsidR="007F6FF0" w:rsidRPr="007F2A01" w:rsidRDefault="007F6FF0" w:rsidP="003853EA">
            <w:pPr>
              <w:widowControl/>
              <w:spacing w:after="240"/>
              <w:jc w:val="left"/>
              <w:rPr>
                <w:lang w:val="en-GB"/>
              </w:rPr>
            </w:pPr>
            <w:r w:rsidRPr="007F2A01">
              <w:rPr>
                <w:lang w:val="en-GB"/>
              </w:rPr>
              <w:t>A contingent deferred subscription charge may be payable in respect of subscriptions for this Class, further details of which are set out below.</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1834AB" w14:textId="2B099B88" w:rsidR="007F6FF0" w:rsidRPr="007F2A01" w:rsidRDefault="007F6FF0" w:rsidP="003853EA">
            <w:pPr>
              <w:widowControl/>
              <w:spacing w:after="240"/>
              <w:jc w:val="left"/>
              <w:rPr>
                <w:lang w:val="en-GB"/>
              </w:rPr>
            </w:pPr>
            <w:r w:rsidRPr="007F2A01">
              <w:rPr>
                <w:lang w:val="en-GB"/>
              </w:rPr>
              <w:t>Not currently charged.</w:t>
            </w:r>
          </w:p>
        </w:tc>
      </w:tr>
      <w:tr w:rsidR="0074751A" w:rsidRPr="0074751A" w14:paraId="55E24B22" w14:textId="01A98A19" w:rsidTr="00D12656">
        <w:trPr>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C4F3D2" w14:textId="77777777" w:rsidR="007F6FF0" w:rsidRPr="007F2A01" w:rsidRDefault="007F6FF0" w:rsidP="003853EA">
            <w:pPr>
              <w:widowControl/>
              <w:spacing w:after="240"/>
              <w:jc w:val="left"/>
              <w:rPr>
                <w:b/>
                <w:lang w:val="en-GB"/>
              </w:rPr>
            </w:pPr>
            <w:r w:rsidRPr="007F2A01">
              <w:rPr>
                <w:b/>
                <w:lang w:val="en-GB"/>
              </w:rPr>
              <w:t>Redemption Fee</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CA796F" w14:textId="77777777" w:rsidR="007F6FF0" w:rsidRPr="007F2A01" w:rsidRDefault="007F6FF0" w:rsidP="003853EA">
            <w:pPr>
              <w:widowControl/>
              <w:spacing w:after="240"/>
              <w:jc w:val="left"/>
              <w:rPr>
                <w:lang w:val="en-GB"/>
              </w:rPr>
            </w:pPr>
            <w:r w:rsidRPr="007F2A01">
              <w:rPr>
                <w:lang w:val="en-GB"/>
              </w:rPr>
              <w:t>Not currently charged.</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A16F5E" w14:textId="77777777" w:rsidR="007F6FF0" w:rsidRPr="007F2A01" w:rsidRDefault="007F6FF0" w:rsidP="003853EA">
            <w:pPr>
              <w:widowControl/>
              <w:spacing w:after="240"/>
              <w:jc w:val="left"/>
              <w:rPr>
                <w:lang w:val="en-GB"/>
              </w:rPr>
            </w:pPr>
            <w:r w:rsidRPr="007F2A01">
              <w:rPr>
                <w:lang w:val="en-GB"/>
              </w:rPr>
              <w:t>Not currently charged.</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3A2D0A" w14:textId="77777777" w:rsidR="007F6FF0" w:rsidRPr="007F2A01" w:rsidRDefault="007F6FF0" w:rsidP="003853EA">
            <w:pPr>
              <w:widowControl/>
              <w:spacing w:after="240"/>
              <w:jc w:val="left"/>
              <w:rPr>
                <w:lang w:val="en-GB"/>
              </w:rPr>
            </w:pPr>
            <w:r w:rsidRPr="007F2A01">
              <w:rPr>
                <w:lang w:val="en-GB"/>
              </w:rPr>
              <w:t>Not currently charged.</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DE7B7A" w14:textId="77777777" w:rsidR="007F6FF0" w:rsidRPr="007F2A01" w:rsidRDefault="007F6FF0" w:rsidP="003853EA">
            <w:pPr>
              <w:widowControl/>
              <w:spacing w:after="240"/>
              <w:jc w:val="left"/>
              <w:rPr>
                <w:lang w:val="en-GB"/>
              </w:rPr>
            </w:pPr>
            <w:r w:rsidRPr="0074751A">
              <w:rPr>
                <w:lang w:val="en-GB"/>
              </w:rPr>
              <w:t>Not currently charged.</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D56722" w14:textId="694DF7FD" w:rsidR="007F6FF0" w:rsidRPr="007F2A01" w:rsidRDefault="007F6FF0" w:rsidP="003853EA">
            <w:pPr>
              <w:widowControl/>
              <w:spacing w:after="240"/>
              <w:jc w:val="left"/>
              <w:rPr>
                <w:lang w:val="en-GB"/>
              </w:rPr>
            </w:pPr>
            <w:r w:rsidRPr="0074751A">
              <w:rPr>
                <w:lang w:val="en-GB"/>
              </w:rPr>
              <w:t>Not currently charged.</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238BDD" w14:textId="2AA083CE" w:rsidR="007F6FF0" w:rsidRPr="0074751A" w:rsidRDefault="007F6FF0" w:rsidP="003853EA">
            <w:pPr>
              <w:widowControl/>
              <w:spacing w:after="240"/>
              <w:jc w:val="left"/>
              <w:rPr>
                <w:lang w:val="en-GB"/>
              </w:rPr>
            </w:pPr>
            <w:r w:rsidRPr="007F2A01">
              <w:rPr>
                <w:lang w:val="en-GB"/>
              </w:rPr>
              <w:t>Not currently charged.</w:t>
            </w:r>
          </w:p>
        </w:tc>
      </w:tr>
      <w:tr w:rsidR="0074751A" w:rsidRPr="0074751A" w14:paraId="080506D5" w14:textId="4EB992A0" w:rsidTr="00D12656">
        <w:trPr>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6931A3" w14:textId="77777777" w:rsidR="007F6FF0" w:rsidRPr="007F2A01" w:rsidRDefault="007F6FF0" w:rsidP="003853EA">
            <w:pPr>
              <w:widowControl/>
              <w:spacing w:after="240"/>
              <w:jc w:val="left"/>
              <w:rPr>
                <w:b/>
                <w:lang w:val="en-GB"/>
              </w:rPr>
            </w:pPr>
            <w:r w:rsidRPr="007F2A01">
              <w:rPr>
                <w:b/>
                <w:lang w:val="en-GB"/>
              </w:rPr>
              <w:t>Exchange / Switching / Conversion Fee</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A235B3" w14:textId="77777777" w:rsidR="007F6FF0" w:rsidRPr="007F2A01" w:rsidRDefault="007F6FF0" w:rsidP="003853EA">
            <w:pPr>
              <w:widowControl/>
              <w:spacing w:after="240"/>
              <w:jc w:val="left"/>
              <w:rPr>
                <w:lang w:val="en-GB"/>
              </w:rPr>
            </w:pPr>
            <w:r w:rsidRPr="007F2A01">
              <w:rPr>
                <w:lang w:val="en-GB"/>
              </w:rPr>
              <w:t>None.</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F2D4B0" w14:textId="77777777" w:rsidR="007F6FF0" w:rsidRPr="007F2A01" w:rsidRDefault="007F6FF0" w:rsidP="003853EA">
            <w:pPr>
              <w:widowControl/>
              <w:spacing w:after="240"/>
              <w:jc w:val="left"/>
              <w:rPr>
                <w:lang w:val="en-GB"/>
              </w:rPr>
            </w:pPr>
            <w:r w:rsidRPr="007F2A01">
              <w:rPr>
                <w:lang w:val="en-GB"/>
              </w:rPr>
              <w:t>None.</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65AC5" w14:textId="77777777" w:rsidR="007F6FF0" w:rsidRPr="007F2A01" w:rsidRDefault="007F6FF0" w:rsidP="003853EA">
            <w:pPr>
              <w:widowControl/>
              <w:spacing w:after="240"/>
              <w:jc w:val="left"/>
              <w:rPr>
                <w:lang w:val="en-GB"/>
              </w:rPr>
            </w:pPr>
            <w:r w:rsidRPr="007F2A01">
              <w:rPr>
                <w:lang w:val="en-GB"/>
              </w:rPr>
              <w:t>None.</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653AEB" w14:textId="77777777" w:rsidR="007F6FF0" w:rsidRPr="007F2A01" w:rsidRDefault="007F6FF0" w:rsidP="003853EA">
            <w:pPr>
              <w:widowControl/>
              <w:spacing w:after="240"/>
              <w:jc w:val="left"/>
              <w:rPr>
                <w:lang w:val="en-GB"/>
              </w:rPr>
            </w:pPr>
            <w:r w:rsidRPr="007F2A01">
              <w:rPr>
                <w:lang w:val="en-GB"/>
              </w:rPr>
              <w:t>None.</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920CE2" w14:textId="77777777" w:rsidR="007F6FF0" w:rsidRPr="007F2A01" w:rsidRDefault="007F6FF0" w:rsidP="003853EA">
            <w:pPr>
              <w:widowControl/>
              <w:spacing w:after="240"/>
              <w:jc w:val="left"/>
              <w:rPr>
                <w:lang w:val="en-GB"/>
              </w:rPr>
            </w:pPr>
            <w:r w:rsidRPr="007F2A01">
              <w:rPr>
                <w:lang w:val="en-GB"/>
              </w:rPr>
              <w:t>None.</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3AD44C" w14:textId="6AED2FAE" w:rsidR="007F6FF0" w:rsidRPr="007F2A01" w:rsidRDefault="007F6FF0" w:rsidP="003853EA">
            <w:pPr>
              <w:widowControl/>
              <w:spacing w:after="240"/>
              <w:jc w:val="left"/>
              <w:rPr>
                <w:lang w:val="en-GB"/>
              </w:rPr>
            </w:pPr>
            <w:r w:rsidRPr="007F2A01">
              <w:rPr>
                <w:lang w:val="en-GB"/>
              </w:rPr>
              <w:t>None.</w:t>
            </w:r>
          </w:p>
        </w:tc>
      </w:tr>
      <w:tr w:rsidR="0074751A" w:rsidRPr="0074751A" w14:paraId="554AF9A2" w14:textId="2BEF4F16" w:rsidTr="00D12656">
        <w:trPr>
          <w:gridAfter w:val="1"/>
          <w:wAfter w:w="237" w:type="dxa"/>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E3CCDB" w14:textId="77777777" w:rsidR="007F6FF0" w:rsidRPr="007F2A01" w:rsidRDefault="007F6FF0" w:rsidP="007F2A01">
            <w:pPr>
              <w:widowControl/>
              <w:spacing w:after="240"/>
              <w:jc w:val="left"/>
              <w:rPr>
                <w:b/>
                <w:lang w:val="en-GB"/>
              </w:rPr>
            </w:pPr>
            <w:r w:rsidRPr="007F2A01">
              <w:rPr>
                <w:b/>
                <w:lang w:val="en-GB"/>
              </w:rPr>
              <w:t>Minimum Initial Investment</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36BF3C" w14:textId="3783A2AD" w:rsidR="007F6FF0" w:rsidRPr="007F2A01" w:rsidRDefault="007F6FF0" w:rsidP="007F2A01">
            <w:pPr>
              <w:widowControl/>
              <w:spacing w:after="240"/>
              <w:jc w:val="left"/>
              <w:rPr>
                <w:lang w:val="en-GB"/>
              </w:rPr>
            </w:pPr>
            <w:r w:rsidRPr="0074751A">
              <w:rPr>
                <w:lang w:val="en-GB"/>
              </w:rPr>
              <w:t>US$10,000.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5313D2" w14:textId="500486D6" w:rsidR="007F6FF0" w:rsidRPr="007F2A01" w:rsidRDefault="007F6FF0" w:rsidP="007F2A01">
            <w:pPr>
              <w:widowControl/>
              <w:spacing w:after="240"/>
              <w:jc w:val="left"/>
              <w:rPr>
                <w:lang w:val="en-GB"/>
              </w:rPr>
            </w:pPr>
            <w:r w:rsidRPr="0074751A">
              <w:rPr>
                <w:lang w:val="en-GB"/>
              </w:rPr>
              <w:t>US$1,000,00.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2C53E1" w14:textId="77777777" w:rsidR="007F6FF0" w:rsidRPr="007F2A01" w:rsidRDefault="007F6FF0" w:rsidP="007F2A01">
            <w:pPr>
              <w:widowControl/>
              <w:spacing w:after="240"/>
              <w:jc w:val="left"/>
              <w:rPr>
                <w:lang w:val="en-GB"/>
              </w:rPr>
            </w:pPr>
            <w:r w:rsidRPr="007F2A01">
              <w:rPr>
                <w:lang w:val="en-GB"/>
              </w:rPr>
              <w:t>US$10,000 (or its equivalent in the relevant currency denomination of the Class).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9AAA7E" w14:textId="58B59E3A" w:rsidR="007F6FF0" w:rsidRPr="0074751A" w:rsidDel="00CF4404" w:rsidRDefault="007F6FF0" w:rsidP="007F2A01">
            <w:pPr>
              <w:widowControl/>
              <w:spacing w:after="240"/>
              <w:jc w:val="left"/>
              <w:rPr>
                <w:lang w:val="en-GB"/>
              </w:rPr>
            </w:pPr>
            <w:r w:rsidRPr="0074751A">
              <w:rPr>
                <w:lang w:val="en-GB"/>
              </w:rPr>
              <w:t>US$10,000.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8B6FC0" w14:textId="77777777" w:rsidR="007F6FF0" w:rsidRPr="007F2A01" w:rsidRDefault="007F6FF0" w:rsidP="007F2A01">
            <w:pPr>
              <w:widowControl/>
              <w:spacing w:after="240"/>
              <w:jc w:val="left"/>
              <w:rPr>
                <w:lang w:val="en-GB"/>
              </w:rPr>
            </w:pPr>
            <w:r w:rsidRPr="007F2A01">
              <w:rPr>
                <w:lang w:val="en-GB"/>
              </w:rPr>
              <w:t>US$10,000 (or its equivalent in the relevant currency denomination of the Class).</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B9D2EA" w14:textId="4A83F2C8" w:rsidR="007F6FF0" w:rsidRPr="007F2A01" w:rsidRDefault="007F6FF0" w:rsidP="007F2A01">
            <w:pPr>
              <w:widowControl/>
              <w:spacing w:after="240"/>
              <w:jc w:val="left"/>
              <w:rPr>
                <w:lang w:val="en-GB"/>
              </w:rPr>
            </w:pPr>
            <w:r w:rsidRPr="007F2A01">
              <w:rPr>
                <w:lang w:val="en-GB"/>
              </w:rPr>
              <w:t>US$2,500,000</w:t>
            </w:r>
            <w:r w:rsidRPr="0074751A">
              <w:rPr>
                <w:lang w:val="en-GB"/>
              </w:rPr>
              <w:t>.</w:t>
            </w:r>
          </w:p>
        </w:tc>
      </w:tr>
      <w:tr w:rsidR="0074751A" w:rsidRPr="0074751A" w14:paraId="04342B91" w14:textId="71DD1F44" w:rsidTr="00D12656">
        <w:trPr>
          <w:gridAfter w:val="1"/>
          <w:wAfter w:w="237" w:type="dxa"/>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57905F" w14:textId="77777777" w:rsidR="007F6FF0" w:rsidRPr="007F2A01" w:rsidRDefault="007F6FF0" w:rsidP="007F2A01">
            <w:pPr>
              <w:widowControl/>
              <w:spacing w:after="240"/>
              <w:jc w:val="left"/>
              <w:rPr>
                <w:b/>
                <w:lang w:val="en-GB"/>
              </w:rPr>
            </w:pPr>
            <w:r w:rsidRPr="007F2A01">
              <w:rPr>
                <w:b/>
                <w:lang w:val="en-GB"/>
              </w:rPr>
              <w:lastRenderedPageBreak/>
              <w:t>Minimum Subsequent Investment</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4A6228" w14:textId="4305C915" w:rsidR="007F6FF0" w:rsidRPr="007F2A01" w:rsidRDefault="007F6FF0" w:rsidP="007F2A01">
            <w:pPr>
              <w:widowControl/>
              <w:spacing w:after="240"/>
              <w:jc w:val="left"/>
              <w:rPr>
                <w:lang w:val="en-GB"/>
              </w:rPr>
            </w:pPr>
            <w:r w:rsidRPr="0074751A">
              <w:rPr>
                <w:lang w:val="en-GB"/>
              </w:rPr>
              <w:t>US$100.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A4639C" w14:textId="2D75CD39" w:rsidR="007F6FF0" w:rsidRPr="007F2A01" w:rsidRDefault="007F6FF0" w:rsidP="007F2A01">
            <w:pPr>
              <w:widowControl/>
              <w:spacing w:after="240"/>
              <w:jc w:val="left"/>
              <w:rPr>
                <w:lang w:val="en-GB"/>
              </w:rPr>
            </w:pPr>
            <w:r w:rsidRPr="0074751A">
              <w:rPr>
                <w:lang w:val="en-GB"/>
              </w:rPr>
              <w:t>US$100.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8E31AA" w14:textId="77777777" w:rsidR="007F6FF0" w:rsidRPr="007F2A01" w:rsidRDefault="007F6FF0" w:rsidP="007F2A01">
            <w:pPr>
              <w:widowControl/>
              <w:spacing w:after="240"/>
              <w:jc w:val="left"/>
              <w:rPr>
                <w:lang w:val="en-GB"/>
              </w:rPr>
            </w:pPr>
            <w:r w:rsidRPr="007F2A01">
              <w:rPr>
                <w:lang w:val="en-GB"/>
              </w:rPr>
              <w:t>US$100 (or its equivalent in the relevant currency denomination of the Class).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140001" w14:textId="1B4EC426" w:rsidR="007F6FF0" w:rsidRPr="007F2A01" w:rsidRDefault="007F6FF0" w:rsidP="007F2A01">
            <w:pPr>
              <w:widowControl/>
              <w:spacing w:after="240"/>
              <w:jc w:val="left"/>
              <w:rPr>
                <w:lang w:val="en-GB"/>
              </w:rPr>
            </w:pPr>
            <w:r w:rsidRPr="0074751A">
              <w:rPr>
                <w:lang w:val="en-GB"/>
              </w:rPr>
              <w:t>US$100.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50F782" w14:textId="77777777" w:rsidR="007F6FF0" w:rsidRPr="007F2A01" w:rsidRDefault="007F6FF0" w:rsidP="007F2A01">
            <w:pPr>
              <w:widowControl/>
              <w:spacing w:after="240"/>
              <w:jc w:val="left"/>
              <w:rPr>
                <w:lang w:val="en-GB"/>
              </w:rPr>
            </w:pPr>
            <w:r w:rsidRPr="007F2A01">
              <w:rPr>
                <w:lang w:val="en-GB"/>
              </w:rPr>
              <w:t>US$100 (or its equivalent in the relevant currency denomination of the Class).</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055FC0" w14:textId="37C7A160" w:rsidR="007F6FF0" w:rsidRPr="007F2A01" w:rsidRDefault="007F6FF0" w:rsidP="007F2A01">
            <w:pPr>
              <w:widowControl/>
              <w:spacing w:after="240"/>
              <w:jc w:val="left"/>
              <w:rPr>
                <w:lang w:val="en-GB"/>
              </w:rPr>
            </w:pPr>
            <w:r w:rsidRPr="0074751A">
              <w:rPr>
                <w:lang w:val="en-GB"/>
              </w:rPr>
              <w:t>US$100.</w:t>
            </w:r>
          </w:p>
        </w:tc>
      </w:tr>
      <w:tr w:rsidR="0074751A" w:rsidRPr="0074751A" w14:paraId="19997518" w14:textId="28371FE5" w:rsidTr="00D12656">
        <w:trPr>
          <w:gridAfter w:val="1"/>
          <w:wAfter w:w="237" w:type="dxa"/>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781E89" w14:textId="77777777" w:rsidR="007F6FF0" w:rsidRPr="007F2A01" w:rsidRDefault="007F6FF0" w:rsidP="007F2A01">
            <w:pPr>
              <w:widowControl/>
              <w:spacing w:after="240"/>
              <w:jc w:val="left"/>
              <w:rPr>
                <w:b/>
                <w:lang w:val="en-GB"/>
              </w:rPr>
            </w:pPr>
            <w:r w:rsidRPr="007F2A01">
              <w:rPr>
                <w:b/>
                <w:lang w:val="en-GB"/>
              </w:rPr>
              <w:t>Minimum Holding</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3844D5" w14:textId="0086A2DD" w:rsidR="007F6FF0" w:rsidRPr="007F2A01" w:rsidRDefault="007F6FF0" w:rsidP="007F2A01">
            <w:pPr>
              <w:widowControl/>
              <w:spacing w:after="240"/>
              <w:jc w:val="left"/>
              <w:rPr>
                <w:lang w:val="en-GB"/>
              </w:rPr>
            </w:pPr>
            <w:r w:rsidRPr="0074751A">
              <w:rPr>
                <w:lang w:val="en-GB"/>
              </w:rPr>
              <w:t>US$100.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B5A221" w14:textId="4822BA99" w:rsidR="007F6FF0" w:rsidRPr="007F2A01" w:rsidRDefault="007F6FF0" w:rsidP="007F2A01">
            <w:pPr>
              <w:widowControl/>
              <w:spacing w:after="240"/>
              <w:jc w:val="left"/>
              <w:rPr>
                <w:lang w:val="en-GB"/>
              </w:rPr>
            </w:pPr>
            <w:r w:rsidRPr="0074751A">
              <w:rPr>
                <w:lang w:val="en-GB"/>
              </w:rPr>
              <w:t>US$100.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19A47B" w14:textId="77777777" w:rsidR="007F6FF0" w:rsidRPr="007F2A01" w:rsidRDefault="007F6FF0" w:rsidP="007F2A01">
            <w:pPr>
              <w:widowControl/>
              <w:spacing w:after="240"/>
              <w:jc w:val="left"/>
              <w:rPr>
                <w:lang w:val="en-GB"/>
              </w:rPr>
            </w:pPr>
            <w:r w:rsidRPr="007F2A01">
              <w:rPr>
                <w:lang w:val="en-GB"/>
              </w:rPr>
              <w:t>US$100 (or its equivalent in the relevant currency denomination of the Class).</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C7CA05" w14:textId="775D4FE7" w:rsidR="007F6FF0" w:rsidRPr="007F2A01" w:rsidRDefault="007F6FF0" w:rsidP="007F2A01">
            <w:pPr>
              <w:widowControl/>
              <w:spacing w:after="240"/>
              <w:jc w:val="left"/>
              <w:rPr>
                <w:lang w:val="en-GB"/>
              </w:rPr>
            </w:pPr>
            <w:r w:rsidRPr="0074751A">
              <w:rPr>
                <w:lang w:val="en-GB"/>
              </w:rPr>
              <w:t>US$100.</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9DD24C" w14:textId="77777777" w:rsidR="007F6FF0" w:rsidRPr="007F2A01" w:rsidRDefault="007F6FF0" w:rsidP="007F2A01">
            <w:pPr>
              <w:widowControl/>
              <w:spacing w:after="240"/>
              <w:jc w:val="left"/>
              <w:rPr>
                <w:lang w:val="en-GB"/>
              </w:rPr>
            </w:pPr>
            <w:r w:rsidRPr="007F2A01">
              <w:rPr>
                <w:lang w:val="en-GB"/>
              </w:rPr>
              <w:t>US$100 (or its equivalent in the relevant currency denomination of the Class).</w:t>
            </w:r>
          </w:p>
        </w:tc>
        <w:tc>
          <w:tcPr>
            <w:tcW w:w="1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CF512E" w14:textId="51CF51CB" w:rsidR="007F6FF0" w:rsidRPr="007F2A01" w:rsidRDefault="007F6FF0" w:rsidP="007F2A01">
            <w:pPr>
              <w:widowControl/>
              <w:spacing w:after="240"/>
              <w:jc w:val="left"/>
              <w:rPr>
                <w:lang w:val="en-GB"/>
              </w:rPr>
            </w:pPr>
            <w:r w:rsidRPr="0074751A">
              <w:rPr>
                <w:lang w:val="en-GB"/>
              </w:rPr>
              <w:t>US$100.</w:t>
            </w:r>
          </w:p>
        </w:tc>
      </w:tr>
      <w:tr w:rsidR="0074751A" w:rsidRPr="0074751A" w14:paraId="22D448AE" w14:textId="5D6A4C5E" w:rsidTr="00D12656">
        <w:trPr>
          <w:tblHeader/>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2DD823" w14:textId="77777777" w:rsidR="007F6FF0" w:rsidRPr="007F2A01" w:rsidRDefault="007F6FF0" w:rsidP="003853EA">
            <w:pPr>
              <w:widowControl/>
              <w:spacing w:after="240"/>
              <w:jc w:val="left"/>
              <w:rPr>
                <w:b/>
                <w:lang w:val="en-GB"/>
              </w:rPr>
            </w:pPr>
            <w:r w:rsidRPr="007F2A01">
              <w:rPr>
                <w:b/>
                <w:lang w:val="en-GB"/>
              </w:rPr>
              <w:t>Dealing Days for Subscription and Redemption</w:t>
            </w:r>
          </w:p>
        </w:tc>
        <w:tc>
          <w:tcPr>
            <w:tcW w:w="13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C975F5" w14:textId="77777777" w:rsidR="007F6FF0" w:rsidRPr="007F2A01" w:rsidRDefault="007F6FF0" w:rsidP="003853EA">
            <w:pPr>
              <w:widowControl/>
              <w:spacing w:after="240"/>
              <w:jc w:val="left"/>
              <w:rPr>
                <w:lang w:val="en-GB"/>
              </w:rPr>
            </w:pPr>
            <w:r w:rsidRPr="007F2A01">
              <w:rPr>
                <w:lang w:val="en-GB"/>
              </w:rPr>
              <w:t xml:space="preserve">Weekly, on the Friday of every week, and where such Friday is not a Business Day, the Business Day immediately following. </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BEF72C" w14:textId="77777777" w:rsidR="007F6FF0" w:rsidRPr="007F2A01" w:rsidRDefault="007F6FF0" w:rsidP="003853EA">
            <w:pPr>
              <w:widowControl/>
              <w:spacing w:after="240"/>
              <w:jc w:val="left"/>
              <w:rPr>
                <w:lang w:val="en-GB"/>
              </w:rPr>
            </w:pPr>
            <w:r w:rsidRPr="007F2A01">
              <w:rPr>
                <w:lang w:val="en-GB"/>
              </w:rPr>
              <w:t xml:space="preserve">Weekly, on the Friday of every week, and where such Friday is not a Business Day, the Business Day immediately following. </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D0B2E" w14:textId="77777777" w:rsidR="007F6FF0" w:rsidRPr="007F2A01" w:rsidRDefault="007F6FF0" w:rsidP="003853EA">
            <w:pPr>
              <w:widowControl/>
              <w:spacing w:after="240"/>
              <w:jc w:val="left"/>
              <w:rPr>
                <w:lang w:val="en-GB"/>
              </w:rPr>
            </w:pPr>
            <w:r w:rsidRPr="007F2A01">
              <w:rPr>
                <w:lang w:val="en-GB"/>
              </w:rPr>
              <w:t xml:space="preserve">Weekly, on the Friday of every week, and where such Friday is not a Business Day, the Business Day immediately following. </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42C664" w14:textId="77777777" w:rsidR="007F6FF0" w:rsidRPr="007F2A01" w:rsidRDefault="007F6FF0" w:rsidP="003853EA">
            <w:pPr>
              <w:widowControl/>
              <w:spacing w:after="240"/>
              <w:jc w:val="left"/>
              <w:rPr>
                <w:lang w:val="en-GB"/>
              </w:rPr>
            </w:pPr>
            <w:r w:rsidRPr="007F2A01">
              <w:rPr>
                <w:lang w:val="en-GB"/>
              </w:rPr>
              <w:t xml:space="preserve">Weekly, on the Friday of every week, and where such Friday is not a Business Day, the Business Day immediately following. </w:t>
            </w:r>
          </w:p>
        </w:tc>
        <w:tc>
          <w:tcPr>
            <w:tcW w:w="13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1CCA3" w14:textId="77777777" w:rsidR="007F6FF0" w:rsidRPr="007F2A01" w:rsidRDefault="007F6FF0" w:rsidP="003853EA">
            <w:pPr>
              <w:widowControl/>
              <w:spacing w:after="240"/>
              <w:jc w:val="left"/>
              <w:rPr>
                <w:lang w:val="en-GB"/>
              </w:rPr>
            </w:pPr>
            <w:r w:rsidRPr="007F2A01">
              <w:rPr>
                <w:lang w:val="en-GB"/>
              </w:rPr>
              <w:t xml:space="preserve">Weekly, on the Friday of every week, and where such Friday is not a Business Day, the Business Day immediately following. </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009940" w14:textId="4B402544" w:rsidR="007F6FF0" w:rsidRPr="007F2A01" w:rsidRDefault="007F6FF0" w:rsidP="003853EA">
            <w:pPr>
              <w:widowControl/>
              <w:spacing w:after="240"/>
              <w:jc w:val="left"/>
              <w:rPr>
                <w:lang w:val="en-GB"/>
              </w:rPr>
            </w:pPr>
            <w:r w:rsidRPr="007F2A01">
              <w:rPr>
                <w:lang w:val="en-GB"/>
              </w:rPr>
              <w:t xml:space="preserve">Weekly, on the Friday of every week, and where such Friday is not a Business Day, the Business Day immediately following. </w:t>
            </w:r>
          </w:p>
        </w:tc>
      </w:tr>
    </w:tbl>
    <w:p w14:paraId="7641BF83" w14:textId="77777777" w:rsidR="00770F75" w:rsidRPr="007F2A01" w:rsidRDefault="00770F75" w:rsidP="00770F75">
      <w:pPr>
        <w:pStyle w:val="BodyText"/>
        <w:rPr>
          <w:lang w:val="en-GB"/>
        </w:rPr>
      </w:pPr>
    </w:p>
    <w:p w14:paraId="3551D380" w14:textId="54D5DB08" w:rsidR="00D15CE3" w:rsidRPr="007F2A01" w:rsidRDefault="00D15CE3" w:rsidP="00770F75">
      <w:pPr>
        <w:pStyle w:val="BodyText"/>
        <w:rPr>
          <w:lang w:val="en-GB"/>
        </w:rPr>
      </w:pPr>
      <w:r w:rsidRPr="007F2A01">
        <w:rPr>
          <w:lang w:val="en-GB"/>
        </w:rPr>
        <w:t xml:space="preserve">The Directors </w:t>
      </w:r>
      <w:r w:rsidR="00A746D5" w:rsidRPr="0074751A">
        <w:rPr>
          <w:lang w:val="en-GB"/>
        </w:rPr>
        <w:t>will treat all</w:t>
      </w:r>
      <w:r w:rsidRPr="007F2A01">
        <w:rPr>
          <w:lang w:val="en-GB"/>
        </w:rPr>
        <w:t xml:space="preserve"> Shareholders </w:t>
      </w:r>
      <w:r w:rsidR="00A746D5" w:rsidRPr="0074751A">
        <w:rPr>
          <w:lang w:val="en-GB"/>
        </w:rPr>
        <w:t xml:space="preserve">fairly </w:t>
      </w:r>
      <w:r w:rsidRPr="007F2A01">
        <w:rPr>
          <w:lang w:val="en-GB"/>
        </w:rPr>
        <w:t>and</w:t>
      </w:r>
      <w:r w:rsidR="00A746D5" w:rsidRPr="0074751A">
        <w:rPr>
          <w:lang w:val="en-GB"/>
        </w:rPr>
        <w:t xml:space="preserve"> equally when deciding</w:t>
      </w:r>
      <w:r w:rsidRPr="007F2A01">
        <w:rPr>
          <w:lang w:val="en-GB"/>
        </w:rPr>
        <w:t xml:space="preserve"> to waive or reduce the Minimum Holding, Minimum Initial Investment, and Minimum Subsequent Investment for any Shareholders or to refuse an application for any Shares in their absolute discretion. The Directors can waive any Redemption, Subscription, or Exchange, Conversion or Switching Fee </w:t>
      </w:r>
      <w:r w:rsidR="00A746D5" w:rsidRPr="0074751A">
        <w:rPr>
          <w:lang w:val="en-GB"/>
        </w:rPr>
        <w:t>(</w:t>
      </w:r>
      <w:r w:rsidRPr="007F2A01">
        <w:rPr>
          <w:lang w:val="en-GB"/>
        </w:rPr>
        <w:t>set out above</w:t>
      </w:r>
      <w:r w:rsidR="00A746D5" w:rsidRPr="0074751A">
        <w:rPr>
          <w:lang w:val="en-GB"/>
        </w:rPr>
        <w:t>) at individual Shareholder level</w:t>
      </w:r>
      <w:r w:rsidRPr="007F2A01">
        <w:rPr>
          <w:lang w:val="en-GB"/>
        </w:rPr>
        <w:t xml:space="preserve"> in their absolute discretion</w:t>
      </w:r>
      <w:r w:rsidR="00A746D5" w:rsidRPr="0074751A">
        <w:rPr>
          <w:lang w:val="en-GB"/>
        </w:rPr>
        <w:t xml:space="preserve">, but will treat all Shareholders fairly and equally. </w:t>
      </w:r>
    </w:p>
    <w:p w14:paraId="1F2BAD3E" w14:textId="77777777" w:rsidR="00D15CE3" w:rsidRPr="007F2A01" w:rsidRDefault="00D15CE3" w:rsidP="00770F75">
      <w:pPr>
        <w:pStyle w:val="BodyText"/>
        <w:rPr>
          <w:lang w:val="en-GB"/>
        </w:rPr>
      </w:pPr>
    </w:p>
    <w:p w14:paraId="69A1F1E5" w14:textId="77777777" w:rsidR="00D15CE3" w:rsidRPr="007F2A01" w:rsidRDefault="00D15CE3" w:rsidP="00770F75">
      <w:pPr>
        <w:pStyle w:val="BodyText"/>
        <w:rPr>
          <w:lang w:val="en-GB"/>
        </w:rPr>
      </w:pPr>
      <w:r w:rsidRPr="007F2A01">
        <w:rPr>
          <w:lang w:val="en-GB"/>
        </w:rPr>
        <w:t>Additional classes of Shares may be created in accordance with the requirements of the Central Bank.</w:t>
      </w:r>
    </w:p>
    <w:p w14:paraId="04C9DE3F" w14:textId="77777777" w:rsidR="00D15CE3" w:rsidRPr="007F2A01" w:rsidRDefault="00D15CE3" w:rsidP="00770F75">
      <w:pPr>
        <w:pStyle w:val="BodyText"/>
        <w:rPr>
          <w:lang w:val="en-GB"/>
        </w:rPr>
      </w:pPr>
    </w:p>
    <w:p w14:paraId="4F5FDA9F" w14:textId="77777777" w:rsidR="00D15CE3" w:rsidRPr="007F2A01" w:rsidRDefault="00D15CE3" w:rsidP="00770F75">
      <w:pPr>
        <w:pStyle w:val="BodyText"/>
        <w:rPr>
          <w:b/>
          <w:lang w:val="en-GB"/>
        </w:rPr>
      </w:pPr>
      <w:r w:rsidRPr="007F2A01">
        <w:rPr>
          <w:b/>
          <w:lang w:val="en-GB"/>
        </w:rPr>
        <w:t>Platform Fee</w:t>
      </w:r>
    </w:p>
    <w:p w14:paraId="2B52E765" w14:textId="77777777" w:rsidR="00D15CE3" w:rsidRPr="007F2A01" w:rsidRDefault="00D15CE3" w:rsidP="00770F75">
      <w:pPr>
        <w:pStyle w:val="BodyText"/>
        <w:rPr>
          <w:lang w:val="en-GB"/>
        </w:rPr>
      </w:pPr>
    </w:p>
    <w:p w14:paraId="2683DB2B" w14:textId="252229E6" w:rsidR="00D15CE3" w:rsidRPr="007F2A01" w:rsidRDefault="00D15CE3" w:rsidP="00770F75">
      <w:pPr>
        <w:pStyle w:val="BodyText"/>
        <w:rPr>
          <w:lang w:val="en-GB"/>
        </w:rPr>
      </w:pPr>
      <w:r w:rsidRPr="007F2A01">
        <w:rPr>
          <w:lang w:val="en-GB"/>
        </w:rPr>
        <w:t xml:space="preserve">The Investment </w:t>
      </w:r>
      <w:r w:rsidR="00B11C59" w:rsidRPr="007F2A01">
        <w:rPr>
          <w:lang w:val="en-GB"/>
        </w:rPr>
        <w:t>Manager</w:t>
      </w:r>
      <w:r w:rsidRPr="007F2A01">
        <w:rPr>
          <w:lang w:val="en-GB"/>
        </w:rPr>
        <w:t xml:space="preserve"> receives the Platform Fee as part of its services to the Fund.</w:t>
      </w:r>
    </w:p>
    <w:p w14:paraId="2B7BD36B" w14:textId="77777777" w:rsidR="00D15CE3" w:rsidRPr="007F2A01" w:rsidRDefault="00D15CE3" w:rsidP="00770F75">
      <w:pPr>
        <w:pStyle w:val="BodyText"/>
        <w:rPr>
          <w:lang w:val="en-GB"/>
        </w:rPr>
      </w:pPr>
    </w:p>
    <w:p w14:paraId="486A7EB2" w14:textId="77777777" w:rsidR="00D15CE3" w:rsidRPr="007F2A01" w:rsidRDefault="00D15CE3" w:rsidP="00770F75">
      <w:pPr>
        <w:pStyle w:val="BodyText"/>
        <w:rPr>
          <w:b/>
          <w:lang w:val="en-GB"/>
        </w:rPr>
      </w:pPr>
      <w:r w:rsidRPr="007F2A01">
        <w:rPr>
          <w:b/>
          <w:lang w:val="en-GB"/>
        </w:rPr>
        <w:t>Fees of the Manager</w:t>
      </w:r>
    </w:p>
    <w:p w14:paraId="388B4FCD" w14:textId="77777777" w:rsidR="00D15CE3" w:rsidRPr="007F2A01" w:rsidRDefault="00D15CE3" w:rsidP="00770F75">
      <w:pPr>
        <w:pStyle w:val="BodyText"/>
        <w:rPr>
          <w:lang w:val="en-GB"/>
        </w:rPr>
      </w:pPr>
    </w:p>
    <w:p w14:paraId="53813CD8" w14:textId="77777777" w:rsidR="00D15CE3" w:rsidRPr="007F2A01" w:rsidRDefault="00D15CE3" w:rsidP="00770F75">
      <w:pPr>
        <w:pStyle w:val="BodyText"/>
        <w:rPr>
          <w:lang w:val="en-GB"/>
        </w:rPr>
      </w:pPr>
      <w:r w:rsidRPr="007F2A01">
        <w:rPr>
          <w:lang w:val="en-GB"/>
        </w:rPr>
        <w:t>The fee of the Manager is set out later in this document.</w:t>
      </w:r>
    </w:p>
    <w:p w14:paraId="20080E5A" w14:textId="77777777" w:rsidR="00D15CE3" w:rsidRPr="007F2A01" w:rsidRDefault="00D15CE3" w:rsidP="00770F75">
      <w:pPr>
        <w:pStyle w:val="BodyText"/>
        <w:rPr>
          <w:lang w:val="en-GB"/>
        </w:rPr>
      </w:pPr>
    </w:p>
    <w:p w14:paraId="701B4B0A" w14:textId="2AAE3592" w:rsidR="00D15CE3" w:rsidRPr="007F2A01" w:rsidRDefault="00D15CE3" w:rsidP="00770F75">
      <w:pPr>
        <w:pStyle w:val="BodyText"/>
        <w:rPr>
          <w:b/>
          <w:lang w:val="en-GB"/>
        </w:rPr>
      </w:pPr>
      <w:r w:rsidRPr="007F2A01">
        <w:rPr>
          <w:b/>
          <w:lang w:val="en-GB"/>
        </w:rPr>
        <w:t xml:space="preserve">Fees of Investment </w:t>
      </w:r>
      <w:r w:rsidR="00B11C59" w:rsidRPr="007F2A01">
        <w:rPr>
          <w:b/>
          <w:lang w:val="en-GB"/>
        </w:rPr>
        <w:t>Manager</w:t>
      </w:r>
    </w:p>
    <w:p w14:paraId="621AAF40" w14:textId="77777777" w:rsidR="00D15CE3" w:rsidRPr="007F2A01" w:rsidRDefault="00D15CE3" w:rsidP="00770F75">
      <w:pPr>
        <w:pStyle w:val="BodyText"/>
        <w:rPr>
          <w:lang w:val="en-GB"/>
        </w:rPr>
      </w:pPr>
    </w:p>
    <w:p w14:paraId="34C20464" w14:textId="7849F3C8" w:rsidR="00D15CE3" w:rsidRPr="007F2A01" w:rsidRDefault="00D15CE3" w:rsidP="00770F75">
      <w:pPr>
        <w:pStyle w:val="BodyText"/>
        <w:rPr>
          <w:lang w:val="en-GB"/>
        </w:rPr>
      </w:pPr>
      <w:r w:rsidRPr="007F2A01">
        <w:rPr>
          <w:lang w:val="en-GB"/>
        </w:rPr>
        <w:t xml:space="preserve">In addition to the Platform Fee, the fees of the Investment </w:t>
      </w:r>
      <w:r w:rsidR="00B11C59" w:rsidRPr="007F2A01">
        <w:rPr>
          <w:lang w:val="en-GB"/>
        </w:rPr>
        <w:t>Manager</w:t>
      </w:r>
      <w:r w:rsidRPr="007F2A01">
        <w:rPr>
          <w:lang w:val="en-GB"/>
        </w:rPr>
        <w:t xml:space="preserve"> will be paid out of the assets of the Fund.</w:t>
      </w:r>
    </w:p>
    <w:p w14:paraId="1154A7B2" w14:textId="77777777" w:rsidR="00770F75" w:rsidRPr="007F2A01" w:rsidRDefault="00770F75" w:rsidP="00770F75">
      <w:pPr>
        <w:pStyle w:val="BodyText"/>
        <w:rPr>
          <w:sz w:val="22"/>
          <w:lang w:val="en-GB"/>
        </w:rPr>
      </w:pPr>
    </w:p>
    <w:p w14:paraId="122F3783" w14:textId="77777777" w:rsidR="00D15CE3" w:rsidRPr="007F2A01" w:rsidRDefault="00D15CE3" w:rsidP="00770F75">
      <w:pPr>
        <w:pStyle w:val="BodyText"/>
        <w:rPr>
          <w:b/>
          <w:lang w:val="en-GB"/>
        </w:rPr>
      </w:pPr>
      <w:r w:rsidRPr="007F2A01">
        <w:rPr>
          <w:b/>
          <w:lang w:val="en-GB"/>
        </w:rPr>
        <w:t>Contingent Deferred Subscription Charge (“CDSC”)</w:t>
      </w:r>
    </w:p>
    <w:p w14:paraId="3871657F" w14:textId="77777777" w:rsidR="00D15CE3" w:rsidRPr="007F2A01" w:rsidRDefault="00D15CE3" w:rsidP="00770F75">
      <w:pPr>
        <w:pStyle w:val="BodyText"/>
        <w:rPr>
          <w:lang w:val="en-GB"/>
        </w:rPr>
      </w:pPr>
    </w:p>
    <w:p w14:paraId="714F88DC" w14:textId="77777777" w:rsidR="00D15CE3" w:rsidRPr="007F2A01" w:rsidRDefault="00D15CE3" w:rsidP="003853EA">
      <w:pPr>
        <w:pStyle w:val="BodyText"/>
        <w:spacing w:after="240"/>
        <w:rPr>
          <w:lang w:val="en-GB"/>
        </w:rPr>
      </w:pPr>
      <w:r w:rsidRPr="007F2A01">
        <w:rPr>
          <w:lang w:val="en-GB"/>
        </w:rPr>
        <w:t>This charge is relevant to Class J.</w:t>
      </w:r>
    </w:p>
    <w:p w14:paraId="7035ADFF" w14:textId="481A4661" w:rsidR="00D15CE3" w:rsidRPr="007F2A01" w:rsidRDefault="00D15CE3" w:rsidP="00770F75">
      <w:pPr>
        <w:pStyle w:val="BodyText"/>
        <w:rPr>
          <w:lang w:val="en-GB"/>
        </w:rPr>
      </w:pPr>
      <w:r w:rsidRPr="007F2A01">
        <w:rPr>
          <w:lang w:val="en-GB"/>
        </w:rPr>
        <w:t xml:space="preserve">Shareholders in Class J in this Fund will not be subject to a subscription fee upon subscribing for Shares in this Class. However, Shareholders in Class J may be subject to a CDSC which shall be payable to the Investment </w:t>
      </w:r>
      <w:r w:rsidR="00B11C59" w:rsidRPr="007F2A01">
        <w:rPr>
          <w:lang w:val="en-GB"/>
        </w:rPr>
        <w:t>Manager</w:t>
      </w:r>
      <w:r w:rsidRPr="007F2A01">
        <w:rPr>
          <w:lang w:val="en-GB"/>
        </w:rPr>
        <w:t>. The rate of CDSC which may be charged will be applied on a scale of up to a maximum of 5% of the net subscription amount.</w:t>
      </w:r>
    </w:p>
    <w:p w14:paraId="5660FEFB" w14:textId="77777777" w:rsidR="00D15CE3" w:rsidRPr="007F2A01" w:rsidRDefault="00D15CE3" w:rsidP="00770F75">
      <w:pPr>
        <w:pStyle w:val="BodyText"/>
        <w:rPr>
          <w:lang w:val="en-GB"/>
        </w:rPr>
      </w:pPr>
    </w:p>
    <w:p w14:paraId="6222BA06" w14:textId="38E527BF" w:rsidR="00D15CE3" w:rsidRPr="007F2A01" w:rsidRDefault="00D15CE3" w:rsidP="00770F75">
      <w:pPr>
        <w:pStyle w:val="BodyText"/>
        <w:rPr>
          <w:lang w:val="en-GB"/>
        </w:rPr>
      </w:pPr>
      <w:r w:rsidRPr="007F2A01">
        <w:rPr>
          <w:lang w:val="en-GB"/>
        </w:rPr>
        <w:t>Redemptions made on or before the twelfth (12th) month-end after the subscription for the relevant Shares will be subject to a CDSC of 5% of the Net Asset Value of such redeemed Shares. The CDSC will decrease by 1% after each subsequent twelfth (12th) calendar month-end after the subscription for the relevant Shares being redeemed. There will be no Redemption Fee on Shares redeemed after the six</w:t>
      </w:r>
      <w:r w:rsidR="00021632" w:rsidRPr="007F2A01">
        <w:rPr>
          <w:lang w:val="en-GB"/>
        </w:rPr>
        <w:t>tie</w:t>
      </w:r>
      <w:r w:rsidRPr="007F2A01">
        <w:rPr>
          <w:lang w:val="en-GB"/>
        </w:rPr>
        <w:t>th (60th) month-end</w:t>
      </w:r>
      <w:r w:rsidR="00021632" w:rsidRPr="007F2A01">
        <w:rPr>
          <w:lang w:val="en-GB"/>
        </w:rPr>
        <w:t xml:space="preserve"> </w:t>
      </w:r>
      <w:r w:rsidRPr="007F2A01">
        <w:rPr>
          <w:lang w:val="en-GB"/>
        </w:rPr>
        <w:t>after subscription for the relevant Shares being redeemed.</w:t>
      </w:r>
    </w:p>
    <w:p w14:paraId="69476606" w14:textId="77777777" w:rsidR="00D15CE3" w:rsidRPr="007F2A01" w:rsidRDefault="00D15CE3" w:rsidP="00770F75">
      <w:pPr>
        <w:pStyle w:val="BodyText"/>
        <w:rPr>
          <w:lang w:val="en-GB"/>
        </w:rPr>
      </w:pPr>
    </w:p>
    <w:p w14:paraId="7321D8F5" w14:textId="77777777" w:rsidR="00D15CE3" w:rsidRPr="007F2A01" w:rsidRDefault="00D15CE3" w:rsidP="00770F75">
      <w:pPr>
        <w:pStyle w:val="BodyText"/>
        <w:rPr>
          <w:lang w:val="en-GB"/>
        </w:rPr>
      </w:pPr>
      <w:r w:rsidRPr="007F2A01">
        <w:rPr>
          <w:lang w:val="en-GB"/>
        </w:rPr>
        <w:t>This charge is relevant to Class R.</w:t>
      </w:r>
    </w:p>
    <w:p w14:paraId="748D149B" w14:textId="77777777" w:rsidR="00D15CE3" w:rsidRPr="007F2A01" w:rsidRDefault="00D15CE3" w:rsidP="00770F75">
      <w:pPr>
        <w:pStyle w:val="BodyText"/>
        <w:rPr>
          <w:lang w:val="en-GB"/>
        </w:rPr>
      </w:pPr>
    </w:p>
    <w:p w14:paraId="635C63D6" w14:textId="330AC17E" w:rsidR="00D15CE3" w:rsidRPr="007F2A01" w:rsidRDefault="00D15CE3" w:rsidP="00770F75">
      <w:pPr>
        <w:pStyle w:val="BodyText"/>
        <w:rPr>
          <w:lang w:val="en-GB"/>
        </w:rPr>
      </w:pPr>
      <w:r w:rsidRPr="007F2A01">
        <w:rPr>
          <w:lang w:val="en-GB"/>
        </w:rPr>
        <w:t xml:space="preserve">Shareholders in Class R in this Fund will not be subject to a subscription fee upon subscribing for Shares in this Class. However, Shareholders in Class R may be subject to a CDSC which shall be payable to the Investment </w:t>
      </w:r>
      <w:r w:rsidR="00B11C59" w:rsidRPr="007F2A01">
        <w:rPr>
          <w:lang w:val="en-GB"/>
        </w:rPr>
        <w:t>Manager</w:t>
      </w:r>
      <w:r w:rsidRPr="007F2A01">
        <w:rPr>
          <w:lang w:val="en-GB"/>
        </w:rPr>
        <w:t>. The rate of CDSC which may be charged will be applied on a scale of up to a maximum of 3.25% of the net subscription amount.</w:t>
      </w:r>
    </w:p>
    <w:p w14:paraId="6A6EE760" w14:textId="77777777" w:rsidR="00D15CE3" w:rsidRPr="007F2A01" w:rsidRDefault="00D15CE3" w:rsidP="00770F75">
      <w:pPr>
        <w:pStyle w:val="BodyText"/>
        <w:rPr>
          <w:lang w:val="en-GB"/>
        </w:rPr>
      </w:pPr>
    </w:p>
    <w:p w14:paraId="3BAF3786" w14:textId="015E9D7B" w:rsidR="00D15CE3" w:rsidRPr="007F2A01" w:rsidRDefault="00D15CE3" w:rsidP="00770F75">
      <w:pPr>
        <w:pStyle w:val="BodyText"/>
        <w:rPr>
          <w:lang w:val="en-GB"/>
        </w:rPr>
      </w:pPr>
      <w:r w:rsidRPr="007F2A01">
        <w:rPr>
          <w:lang w:val="en-GB"/>
        </w:rPr>
        <w:t xml:space="preserve">Redemptions made on or before the twelfth (12th) month-end after the subscription for the relevant Shares will be subject to a CDSC of 3.25% of the Net Asset Value of such redeemed Shares. The CDSC will decrease by 1% after each subsequent twelfth (12th) calendar month-end after the subscription for the relevant Shares being redeemed. There will be no Redemption Fee on Shares redeemed after the </w:t>
      </w:r>
      <w:r w:rsidR="00021632" w:rsidRPr="007F2A01">
        <w:rPr>
          <w:lang w:val="en-GB"/>
        </w:rPr>
        <w:t xml:space="preserve">thirty </w:t>
      </w:r>
      <w:r w:rsidRPr="007F2A01">
        <w:rPr>
          <w:lang w:val="en-GB"/>
        </w:rPr>
        <w:t>sixth (36th) month-end</w:t>
      </w:r>
      <w:r w:rsidR="00021632" w:rsidRPr="007F2A01">
        <w:rPr>
          <w:lang w:val="en-GB"/>
        </w:rPr>
        <w:t xml:space="preserve"> </w:t>
      </w:r>
      <w:r w:rsidRPr="007F2A01">
        <w:rPr>
          <w:lang w:val="en-GB"/>
        </w:rPr>
        <w:t>after subscription for the relevant Shares being redeemed.</w:t>
      </w:r>
    </w:p>
    <w:p w14:paraId="7E6517BC" w14:textId="074C8A46" w:rsidR="00021632" w:rsidRPr="007F2A01" w:rsidRDefault="00021632" w:rsidP="00770F75">
      <w:pPr>
        <w:pStyle w:val="BodyText"/>
        <w:rPr>
          <w:lang w:val="en-GB"/>
        </w:rPr>
      </w:pPr>
    </w:p>
    <w:p w14:paraId="50350BC4" w14:textId="5D6558D0" w:rsidR="00021632" w:rsidRPr="007F2A01" w:rsidRDefault="00021632" w:rsidP="00021632">
      <w:pPr>
        <w:pStyle w:val="BodyText"/>
        <w:rPr>
          <w:b/>
          <w:lang w:val="en-GB"/>
        </w:rPr>
      </w:pPr>
      <w:bookmarkStart w:id="31" w:name="_Hlk32938682"/>
      <w:r w:rsidRPr="007F2A01">
        <w:rPr>
          <w:b/>
          <w:lang w:val="en-GB"/>
        </w:rPr>
        <w:t xml:space="preserve">The Initial Offer Period </w:t>
      </w:r>
    </w:p>
    <w:p w14:paraId="140D0546" w14:textId="77777777" w:rsidR="00021632" w:rsidRPr="007F2A01" w:rsidRDefault="00021632" w:rsidP="00A706F6">
      <w:pPr>
        <w:pStyle w:val="BodyText"/>
        <w:rPr>
          <w:b/>
          <w:lang w:val="en-GB"/>
        </w:rPr>
      </w:pPr>
    </w:p>
    <w:bookmarkEnd w:id="31"/>
    <w:p w14:paraId="1E113B91" w14:textId="7F90018F" w:rsidR="00021632" w:rsidRPr="007F2A01" w:rsidRDefault="00021632" w:rsidP="00A706F6">
      <w:pPr>
        <w:pStyle w:val="BodyText"/>
        <w:rPr>
          <w:lang w:val="en-GB"/>
        </w:rPr>
      </w:pPr>
      <w:r w:rsidRPr="007F2A01">
        <w:rPr>
          <w:lang w:val="en-GB"/>
        </w:rPr>
        <w:t xml:space="preserve">The Initial Offer Period for </w:t>
      </w:r>
      <w:r w:rsidRPr="0074751A">
        <w:rPr>
          <w:lang w:val="en-GB"/>
        </w:rPr>
        <w:t>all Classes ended before the date of this Supplement.</w:t>
      </w:r>
    </w:p>
    <w:p w14:paraId="1B3F1D7D" w14:textId="77777777" w:rsidR="00D15CE3" w:rsidRPr="007F2A01" w:rsidRDefault="00D15CE3" w:rsidP="00770F75">
      <w:pPr>
        <w:pStyle w:val="BodyText"/>
        <w:rPr>
          <w:lang w:val="en-GB"/>
        </w:rPr>
      </w:pPr>
    </w:p>
    <w:p w14:paraId="5F5B14F5" w14:textId="77777777" w:rsidR="00D15CE3" w:rsidRPr="007F2A01" w:rsidRDefault="00D15CE3" w:rsidP="00770F75">
      <w:pPr>
        <w:pStyle w:val="BodyText"/>
        <w:rPr>
          <w:b/>
          <w:lang w:val="en-GB"/>
        </w:rPr>
      </w:pPr>
      <w:r w:rsidRPr="007F2A01">
        <w:rPr>
          <w:b/>
          <w:lang w:val="en-GB"/>
        </w:rPr>
        <w:t>Issue Price for all Classes</w:t>
      </w:r>
    </w:p>
    <w:p w14:paraId="443FDEF5" w14:textId="77777777" w:rsidR="00D15CE3" w:rsidRPr="007F2A01" w:rsidRDefault="00D15CE3" w:rsidP="00770F75">
      <w:pPr>
        <w:pStyle w:val="BodyText"/>
        <w:rPr>
          <w:lang w:val="en-GB"/>
        </w:rPr>
      </w:pPr>
    </w:p>
    <w:p w14:paraId="04EA3C91" w14:textId="7CC6406A" w:rsidR="00D15CE3" w:rsidRPr="007F2A01" w:rsidRDefault="00704409" w:rsidP="00770F75">
      <w:pPr>
        <w:pStyle w:val="BodyText"/>
        <w:rPr>
          <w:lang w:val="en-GB"/>
        </w:rPr>
      </w:pPr>
      <w:r w:rsidRPr="0074751A">
        <w:rPr>
          <w:lang w:val="en-GB"/>
        </w:rPr>
        <w:t>The</w:t>
      </w:r>
      <w:r w:rsidR="005330E1" w:rsidRPr="007F2A01">
        <w:rPr>
          <w:lang w:val="en-GB"/>
        </w:rPr>
        <w:t xml:space="preserve"> </w:t>
      </w:r>
      <w:r w:rsidR="00D15CE3" w:rsidRPr="007F2A01">
        <w:rPr>
          <w:lang w:val="en-GB"/>
        </w:rPr>
        <w:t>Issue Price for all Classes in the Fund is Net Asset Value per Share of the relevant Class</w:t>
      </w:r>
      <w:r w:rsidR="008C733E" w:rsidRPr="007F2A01">
        <w:rPr>
          <w:lang w:val="en-GB"/>
        </w:rPr>
        <w:t>.</w:t>
      </w:r>
    </w:p>
    <w:p w14:paraId="4E17D1CF" w14:textId="77777777" w:rsidR="00F37A80" w:rsidRPr="007F2A01" w:rsidRDefault="00F37A80" w:rsidP="00770F75">
      <w:pPr>
        <w:pStyle w:val="BodyText"/>
        <w:rPr>
          <w:b/>
          <w:lang w:val="en-GB"/>
        </w:rPr>
      </w:pPr>
    </w:p>
    <w:p w14:paraId="00A2FD16" w14:textId="1EA6ED4C" w:rsidR="00D15CE3" w:rsidRPr="007F2A01" w:rsidRDefault="00D15CE3" w:rsidP="00770F75">
      <w:pPr>
        <w:pStyle w:val="BodyText"/>
        <w:rPr>
          <w:b/>
          <w:lang w:val="en-GB"/>
        </w:rPr>
      </w:pPr>
      <w:r w:rsidRPr="007F2A01">
        <w:rPr>
          <w:b/>
          <w:lang w:val="en-GB"/>
        </w:rPr>
        <w:t>Minimum Fund Size</w:t>
      </w:r>
    </w:p>
    <w:p w14:paraId="1547C53C" w14:textId="77777777" w:rsidR="00F37A80" w:rsidRPr="007F2A01" w:rsidRDefault="00F37A80" w:rsidP="00770F75">
      <w:pPr>
        <w:pStyle w:val="BodyText"/>
        <w:rPr>
          <w:lang w:val="en-GB"/>
        </w:rPr>
      </w:pPr>
    </w:p>
    <w:p w14:paraId="680006F5" w14:textId="57731EA6" w:rsidR="00D15CE3" w:rsidRPr="007F2A01" w:rsidRDefault="00D15CE3" w:rsidP="00770F75">
      <w:pPr>
        <w:pStyle w:val="BodyText"/>
        <w:rPr>
          <w:lang w:val="en-GB"/>
        </w:rPr>
      </w:pPr>
      <w:r w:rsidRPr="007F2A01">
        <w:rPr>
          <w:lang w:val="en-GB"/>
        </w:rPr>
        <w:t>USD 5</w:t>
      </w:r>
      <w:r w:rsidR="00862DF9" w:rsidRPr="007F2A01">
        <w:rPr>
          <w:lang w:val="en-GB"/>
        </w:rPr>
        <w:t xml:space="preserve"> </w:t>
      </w:r>
      <w:r w:rsidRPr="007F2A01">
        <w:rPr>
          <w:lang w:val="en-GB"/>
        </w:rPr>
        <w:t>million.</w:t>
      </w:r>
    </w:p>
    <w:p w14:paraId="6417DF6B" w14:textId="77777777" w:rsidR="00D15CE3" w:rsidRPr="007F2A01" w:rsidRDefault="00D15CE3" w:rsidP="00770F75">
      <w:pPr>
        <w:pStyle w:val="BodyText"/>
        <w:rPr>
          <w:lang w:val="en-GB"/>
        </w:rPr>
      </w:pPr>
    </w:p>
    <w:p w14:paraId="02E2E5F0" w14:textId="77777777" w:rsidR="00D15CE3" w:rsidRPr="007F2A01" w:rsidRDefault="00D15CE3" w:rsidP="00770F75">
      <w:pPr>
        <w:pStyle w:val="BodyText"/>
        <w:rPr>
          <w:b/>
          <w:lang w:val="en-GB"/>
        </w:rPr>
      </w:pPr>
      <w:r w:rsidRPr="007F2A01">
        <w:rPr>
          <w:b/>
          <w:lang w:val="en-GB"/>
        </w:rPr>
        <w:t>Business Day</w:t>
      </w:r>
    </w:p>
    <w:p w14:paraId="559BE866" w14:textId="77777777" w:rsidR="00D15CE3" w:rsidRPr="007F2A01" w:rsidRDefault="00D15CE3" w:rsidP="00770F75">
      <w:pPr>
        <w:pStyle w:val="BodyText"/>
        <w:rPr>
          <w:lang w:val="en-GB"/>
        </w:rPr>
      </w:pPr>
    </w:p>
    <w:p w14:paraId="592F8472" w14:textId="77777777" w:rsidR="00D15CE3" w:rsidRPr="007F2A01" w:rsidRDefault="00D15CE3" w:rsidP="00770F75">
      <w:pPr>
        <w:pStyle w:val="BodyText"/>
        <w:rPr>
          <w:lang w:val="en-GB"/>
        </w:rPr>
      </w:pPr>
      <w:r w:rsidRPr="007F2A01">
        <w:rPr>
          <w:lang w:val="en-GB"/>
        </w:rPr>
        <w:t>Any day on which the London and Dublin Stock Exchange are open for business.</w:t>
      </w:r>
    </w:p>
    <w:p w14:paraId="0EF8EFC5" w14:textId="77777777" w:rsidR="00D15CE3" w:rsidRPr="007F2A01" w:rsidRDefault="00D15CE3" w:rsidP="00770F75">
      <w:pPr>
        <w:pStyle w:val="BodyText"/>
        <w:rPr>
          <w:lang w:val="en-GB"/>
        </w:rPr>
      </w:pPr>
    </w:p>
    <w:p w14:paraId="7F1310AF" w14:textId="77777777" w:rsidR="00D15CE3" w:rsidRPr="007F2A01" w:rsidRDefault="00D15CE3" w:rsidP="00770F75">
      <w:pPr>
        <w:pStyle w:val="BodyText"/>
        <w:rPr>
          <w:b/>
          <w:lang w:val="en-GB"/>
        </w:rPr>
      </w:pPr>
      <w:r w:rsidRPr="007F2A01">
        <w:rPr>
          <w:b/>
          <w:lang w:val="en-GB"/>
        </w:rPr>
        <w:t>Dealing Day</w:t>
      </w:r>
    </w:p>
    <w:p w14:paraId="19740BA7" w14:textId="77777777" w:rsidR="00D15CE3" w:rsidRPr="007F2A01" w:rsidRDefault="00D15CE3" w:rsidP="00770F75">
      <w:pPr>
        <w:pStyle w:val="BodyText"/>
        <w:rPr>
          <w:lang w:val="en-GB"/>
        </w:rPr>
      </w:pPr>
    </w:p>
    <w:p w14:paraId="13EFC5BC" w14:textId="77777777" w:rsidR="00D15CE3" w:rsidRPr="007F2A01" w:rsidRDefault="00D15CE3" w:rsidP="00770F75">
      <w:pPr>
        <w:pStyle w:val="BodyText"/>
        <w:rPr>
          <w:lang w:val="en-GB"/>
        </w:rPr>
      </w:pPr>
      <w:r w:rsidRPr="007F2A01">
        <w:rPr>
          <w:lang w:val="en-GB"/>
        </w:rPr>
        <w:t>Shares may be purchased or redeemed weekly. The Dealing Day for Subscriptions and Redemptions is the Friday of every week and where such Friday is not a Business Day, the Business Day immediately following.</w:t>
      </w:r>
    </w:p>
    <w:p w14:paraId="70817C62" w14:textId="77777777" w:rsidR="00D15CE3" w:rsidRPr="007F2A01" w:rsidRDefault="00D15CE3" w:rsidP="00770F75">
      <w:pPr>
        <w:pStyle w:val="BodyText"/>
        <w:rPr>
          <w:lang w:val="en-GB"/>
        </w:rPr>
      </w:pPr>
    </w:p>
    <w:p w14:paraId="328DB98F" w14:textId="77777777" w:rsidR="00D15CE3" w:rsidRPr="007F2A01" w:rsidRDefault="00D15CE3" w:rsidP="00770F75">
      <w:pPr>
        <w:pStyle w:val="BodyText"/>
        <w:rPr>
          <w:b/>
          <w:lang w:val="en-GB"/>
        </w:rPr>
      </w:pPr>
      <w:r w:rsidRPr="007F2A01">
        <w:rPr>
          <w:b/>
          <w:lang w:val="en-GB"/>
        </w:rPr>
        <w:t>Dealing Deadline</w:t>
      </w:r>
    </w:p>
    <w:p w14:paraId="02146377" w14:textId="77777777" w:rsidR="00D15CE3" w:rsidRPr="007F2A01" w:rsidRDefault="00D15CE3" w:rsidP="00770F75">
      <w:pPr>
        <w:pStyle w:val="BodyText"/>
        <w:rPr>
          <w:b/>
          <w:lang w:val="en-GB"/>
        </w:rPr>
      </w:pPr>
    </w:p>
    <w:p w14:paraId="63388EC4" w14:textId="77777777" w:rsidR="00D15CE3" w:rsidRPr="007F2A01" w:rsidRDefault="00D15CE3" w:rsidP="00770F75">
      <w:pPr>
        <w:pStyle w:val="BodyText"/>
        <w:rPr>
          <w:lang w:val="en-GB"/>
        </w:rPr>
      </w:pPr>
      <w:r w:rsidRPr="007F2A01">
        <w:rPr>
          <w:lang w:val="en-GB"/>
        </w:rPr>
        <w:t>The Dealing Deadline is 16:00 UK time on the day three Business Days immediately preceding the relevant Dealing Day or such other day or time as the Directors may determine provided the Shareholders are notified in advance and it is prior to the relevant Valuation Point.</w:t>
      </w:r>
    </w:p>
    <w:p w14:paraId="0BC9DA70" w14:textId="77777777" w:rsidR="00D15CE3" w:rsidRPr="007F2A01" w:rsidRDefault="00D15CE3" w:rsidP="00770F75">
      <w:pPr>
        <w:pStyle w:val="BodyText"/>
        <w:rPr>
          <w:lang w:val="en-GB"/>
        </w:rPr>
      </w:pPr>
    </w:p>
    <w:p w14:paraId="59CDAE03" w14:textId="77777777" w:rsidR="00D15CE3" w:rsidRPr="007F2A01" w:rsidRDefault="00D15CE3" w:rsidP="00770F75">
      <w:pPr>
        <w:pStyle w:val="BodyText"/>
        <w:rPr>
          <w:b/>
          <w:lang w:val="en-GB"/>
        </w:rPr>
      </w:pPr>
      <w:r w:rsidRPr="007F2A01">
        <w:rPr>
          <w:b/>
          <w:lang w:val="en-GB"/>
        </w:rPr>
        <w:t>Valuation Point</w:t>
      </w:r>
    </w:p>
    <w:p w14:paraId="42999330" w14:textId="77777777" w:rsidR="00D15CE3" w:rsidRPr="007F2A01" w:rsidRDefault="00D15CE3" w:rsidP="00770F75">
      <w:pPr>
        <w:pStyle w:val="BodyText"/>
        <w:rPr>
          <w:lang w:val="en-GB"/>
        </w:rPr>
      </w:pPr>
    </w:p>
    <w:p w14:paraId="18B07A12" w14:textId="77777777" w:rsidR="00D15CE3" w:rsidRPr="007F2A01" w:rsidRDefault="00D15CE3" w:rsidP="00770F75">
      <w:pPr>
        <w:pStyle w:val="BodyText"/>
        <w:rPr>
          <w:lang w:val="en-GB"/>
        </w:rPr>
      </w:pPr>
      <w:r w:rsidRPr="007F2A01">
        <w:rPr>
          <w:lang w:val="en-GB"/>
        </w:rPr>
        <w:t>The Valuation Point is 16:30 UK time on the Business Day immediately preceding the Dealing Day or such other day or time as may be determined by the Directors and approved by the Depositary.</w:t>
      </w:r>
    </w:p>
    <w:p w14:paraId="4547D204" w14:textId="77777777" w:rsidR="00D15CE3" w:rsidRPr="007F2A01" w:rsidRDefault="00D15CE3" w:rsidP="00770F75">
      <w:pPr>
        <w:pStyle w:val="BodyText"/>
        <w:rPr>
          <w:lang w:val="en-GB"/>
        </w:rPr>
      </w:pPr>
    </w:p>
    <w:p w14:paraId="6F50B63F" w14:textId="77777777" w:rsidR="00D15CE3" w:rsidRPr="007F2A01" w:rsidRDefault="00D15CE3" w:rsidP="004146D0">
      <w:pPr>
        <w:pStyle w:val="BodyText"/>
        <w:keepNext/>
        <w:rPr>
          <w:b/>
          <w:lang w:val="en-GB"/>
        </w:rPr>
      </w:pPr>
      <w:r w:rsidRPr="007F2A01">
        <w:rPr>
          <w:b/>
          <w:lang w:val="en-GB"/>
        </w:rPr>
        <w:t>Settlement Date</w:t>
      </w:r>
    </w:p>
    <w:p w14:paraId="066C8414" w14:textId="77777777" w:rsidR="00D15CE3" w:rsidRPr="007F2A01" w:rsidRDefault="00D15CE3" w:rsidP="004146D0">
      <w:pPr>
        <w:pStyle w:val="BodyText"/>
        <w:keepNext/>
        <w:rPr>
          <w:lang w:val="en-GB"/>
        </w:rPr>
      </w:pPr>
    </w:p>
    <w:p w14:paraId="0C13AA0B" w14:textId="77777777" w:rsidR="00D15CE3" w:rsidRPr="007F2A01" w:rsidRDefault="00D15CE3" w:rsidP="00770F75">
      <w:pPr>
        <w:pStyle w:val="BodyText"/>
        <w:rPr>
          <w:lang w:val="en-GB"/>
        </w:rPr>
      </w:pPr>
      <w:r w:rsidRPr="007F2A01">
        <w:rPr>
          <w:lang w:val="en-GB"/>
        </w:rPr>
        <w:t>The Settlement Date for the receipt of monies for subscription for Shares shall be 3 Business Days following the relevant Dealing Day. The Settlement Date for the dispatch of monies for the redemption of Shares shall be 5 Business Days following the relevant Dealing Day provided that all the required documentation, including anti-money laundering documentation, has been furnished to and received by the Administrator.</w:t>
      </w:r>
    </w:p>
    <w:p w14:paraId="696F1301" w14:textId="77777777" w:rsidR="00D15CE3" w:rsidRPr="007F2A01" w:rsidRDefault="00D15CE3" w:rsidP="00770F75">
      <w:pPr>
        <w:pStyle w:val="BodyText"/>
        <w:rPr>
          <w:lang w:val="en-GB"/>
        </w:rPr>
      </w:pPr>
    </w:p>
    <w:p w14:paraId="6538F13E" w14:textId="77777777" w:rsidR="00D15CE3" w:rsidRPr="007F2A01" w:rsidRDefault="00D15CE3" w:rsidP="00770F75">
      <w:pPr>
        <w:pStyle w:val="ListParagraph"/>
        <w:rPr>
          <w:lang w:val="en-GB"/>
        </w:rPr>
      </w:pPr>
      <w:bookmarkStart w:id="32" w:name="_Toc98335014"/>
      <w:bookmarkStart w:id="33" w:name="_Toc172121795"/>
      <w:r w:rsidRPr="007F2A01">
        <w:rPr>
          <w:lang w:val="en-GB"/>
        </w:rPr>
        <w:t>HOW TO SUBSCRIBE FOR SHARES</w:t>
      </w:r>
      <w:bookmarkEnd w:id="32"/>
      <w:bookmarkEnd w:id="33"/>
    </w:p>
    <w:p w14:paraId="0EDAE60E" w14:textId="77777777" w:rsidR="00D15CE3" w:rsidRPr="007F2A01" w:rsidRDefault="00D15CE3" w:rsidP="00770F75">
      <w:pPr>
        <w:pStyle w:val="BodyText"/>
        <w:rPr>
          <w:lang w:val="en-GB"/>
        </w:rPr>
      </w:pPr>
      <w:r w:rsidRPr="007F2A01">
        <w:rPr>
          <w:lang w:val="en-GB"/>
        </w:rPr>
        <w:t xml:space="preserve">Requests for the subscription for Shares should be made in accordance with the provisions set out in the section entitled </w:t>
      </w:r>
      <w:r w:rsidRPr="007F2A01">
        <w:rPr>
          <w:b/>
          <w:lang w:val="en-GB"/>
        </w:rPr>
        <w:t xml:space="preserve">Subscription for Shares </w:t>
      </w:r>
      <w:r w:rsidRPr="007F2A01">
        <w:rPr>
          <w:lang w:val="en-GB"/>
        </w:rPr>
        <w:t>in the Prospectus.</w:t>
      </w:r>
    </w:p>
    <w:p w14:paraId="7EB85AC8" w14:textId="77777777" w:rsidR="00D15CE3" w:rsidRPr="007F2A01" w:rsidRDefault="00D15CE3" w:rsidP="00770F75">
      <w:pPr>
        <w:pStyle w:val="BodyText"/>
        <w:rPr>
          <w:lang w:val="en-GB"/>
        </w:rPr>
      </w:pPr>
    </w:p>
    <w:p w14:paraId="017FB79A" w14:textId="77777777" w:rsidR="00D15CE3" w:rsidRPr="007F2A01" w:rsidRDefault="00D15CE3" w:rsidP="00770F75">
      <w:pPr>
        <w:pStyle w:val="ListParagraph"/>
        <w:rPr>
          <w:lang w:val="en-GB"/>
        </w:rPr>
      </w:pPr>
      <w:bookmarkStart w:id="34" w:name="_Toc98335015"/>
      <w:bookmarkStart w:id="35" w:name="_Toc172121796"/>
      <w:r w:rsidRPr="007F2A01">
        <w:rPr>
          <w:lang w:val="en-GB"/>
        </w:rPr>
        <w:t>HOW TO REDEEM SHARES</w:t>
      </w:r>
      <w:bookmarkEnd w:id="34"/>
      <w:bookmarkEnd w:id="35"/>
    </w:p>
    <w:p w14:paraId="451F50E5" w14:textId="77777777" w:rsidR="00D15CE3" w:rsidRPr="007F2A01" w:rsidRDefault="00D15CE3" w:rsidP="00770F75">
      <w:pPr>
        <w:pStyle w:val="BodyText"/>
        <w:rPr>
          <w:lang w:val="en-GB"/>
        </w:rPr>
      </w:pPr>
      <w:r w:rsidRPr="007F2A01">
        <w:rPr>
          <w:lang w:val="en-GB"/>
        </w:rPr>
        <w:t xml:space="preserve">Requests for the redemption of Shares should be made in accordance with the provisions set out in the section entitled </w:t>
      </w:r>
      <w:r w:rsidRPr="007F2A01">
        <w:rPr>
          <w:b/>
          <w:lang w:val="en-GB"/>
        </w:rPr>
        <w:t xml:space="preserve">Redemption of Shares </w:t>
      </w:r>
      <w:r w:rsidRPr="007F2A01">
        <w:rPr>
          <w:lang w:val="en-GB"/>
        </w:rPr>
        <w:t>in the Prospectus.</w:t>
      </w:r>
    </w:p>
    <w:p w14:paraId="5D6F29C2" w14:textId="77777777" w:rsidR="00D15CE3" w:rsidRPr="007F2A01" w:rsidRDefault="00D15CE3" w:rsidP="00770F75">
      <w:pPr>
        <w:pStyle w:val="BodyText"/>
        <w:rPr>
          <w:lang w:val="en-GB"/>
        </w:rPr>
      </w:pPr>
    </w:p>
    <w:p w14:paraId="0CA1E16E" w14:textId="77777777" w:rsidR="00D15CE3" w:rsidRPr="007F2A01" w:rsidRDefault="00D15CE3" w:rsidP="00770F75">
      <w:pPr>
        <w:pStyle w:val="BodyText"/>
        <w:rPr>
          <w:lang w:val="en-GB"/>
        </w:rPr>
      </w:pPr>
      <w:r w:rsidRPr="007F2A01">
        <w:rPr>
          <w:lang w:val="en-GB"/>
        </w:rPr>
        <w:lastRenderedPageBreak/>
        <w:t>Redemption requests must be made in terms of number of Shares rather than requesting a cash amount.</w:t>
      </w:r>
    </w:p>
    <w:p w14:paraId="3951E64B" w14:textId="77777777" w:rsidR="00D15CE3" w:rsidRPr="007F2A01" w:rsidRDefault="00D15CE3" w:rsidP="00770F75">
      <w:pPr>
        <w:pStyle w:val="BodyText"/>
        <w:rPr>
          <w:lang w:val="en-GB"/>
        </w:rPr>
      </w:pPr>
    </w:p>
    <w:p w14:paraId="15FCA0F8" w14:textId="77777777" w:rsidR="00D15CE3" w:rsidRPr="007F2A01" w:rsidRDefault="00D15CE3" w:rsidP="00770F75">
      <w:pPr>
        <w:pStyle w:val="ListParagraph"/>
        <w:rPr>
          <w:lang w:val="en-GB"/>
        </w:rPr>
      </w:pPr>
      <w:bookmarkStart w:id="36" w:name="_Toc98335016"/>
      <w:bookmarkStart w:id="37" w:name="_Toc172121797"/>
      <w:r w:rsidRPr="007F2A01">
        <w:rPr>
          <w:lang w:val="en-GB"/>
        </w:rPr>
        <w:t>ANTI-MONEY LAUNDERING</w:t>
      </w:r>
      <w:bookmarkEnd w:id="36"/>
      <w:bookmarkEnd w:id="37"/>
    </w:p>
    <w:p w14:paraId="075CA92A" w14:textId="3206823A" w:rsidR="00D15CE3" w:rsidRPr="007F2A01" w:rsidRDefault="00D15CE3" w:rsidP="00770F75">
      <w:pPr>
        <w:pStyle w:val="BodyText"/>
        <w:rPr>
          <w:lang w:val="en-GB"/>
        </w:rPr>
      </w:pPr>
      <w:r w:rsidRPr="007F2A01">
        <w:rPr>
          <w:lang w:val="en-GB"/>
        </w:rPr>
        <w:t>Measures aimed at the prevention of money laundering may require an applicant for Shares to verify their identity to the Administrator. The anti-money laundering provisions set out in the Prospectus apply to this Fund.</w:t>
      </w:r>
    </w:p>
    <w:p w14:paraId="08D269E2" w14:textId="77777777" w:rsidR="00D15CE3" w:rsidRPr="007F2A01" w:rsidRDefault="00D15CE3" w:rsidP="00770F75">
      <w:pPr>
        <w:pStyle w:val="BodyText"/>
        <w:rPr>
          <w:lang w:val="en-GB"/>
        </w:rPr>
      </w:pPr>
    </w:p>
    <w:p w14:paraId="3EE05751" w14:textId="77777777" w:rsidR="003E7E63" w:rsidRPr="007F2A01" w:rsidRDefault="00D15CE3" w:rsidP="00770F75">
      <w:pPr>
        <w:pStyle w:val="ListParagraph"/>
        <w:rPr>
          <w:lang w:val="en-GB"/>
        </w:rPr>
      </w:pPr>
      <w:bookmarkStart w:id="38" w:name="_Toc98335017"/>
      <w:bookmarkStart w:id="39" w:name="_Toc172121798"/>
      <w:r w:rsidRPr="007F2A01">
        <w:rPr>
          <w:lang w:val="en-GB"/>
        </w:rPr>
        <w:t>FEES AND EXPENSES</w:t>
      </w:r>
      <w:bookmarkEnd w:id="38"/>
      <w:bookmarkEnd w:id="39"/>
      <w:r w:rsidRPr="007F2A01">
        <w:rPr>
          <w:lang w:val="en-GB"/>
        </w:rPr>
        <w:t xml:space="preserve"> </w:t>
      </w:r>
    </w:p>
    <w:p w14:paraId="3C0F49E0" w14:textId="3191E13B" w:rsidR="00B51888" w:rsidRPr="007F2A01" w:rsidRDefault="003E7E63" w:rsidP="00F160E0">
      <w:pPr>
        <w:pStyle w:val="BodyText"/>
        <w:keepNext/>
        <w:rPr>
          <w:b/>
          <w:lang w:val="en-GB"/>
        </w:rPr>
      </w:pPr>
      <w:r w:rsidRPr="007F2A01">
        <w:rPr>
          <w:b/>
          <w:lang w:val="en-GB"/>
        </w:rPr>
        <w:t>MANAGEMENT FEE</w:t>
      </w:r>
    </w:p>
    <w:p w14:paraId="35AA854C" w14:textId="77777777" w:rsidR="00770F75" w:rsidRPr="007F2A01" w:rsidRDefault="00770F75" w:rsidP="00F160E0">
      <w:pPr>
        <w:pStyle w:val="BodyText"/>
        <w:keepNext/>
        <w:rPr>
          <w:lang w:val="en-GB"/>
        </w:rPr>
      </w:pPr>
    </w:p>
    <w:p w14:paraId="7299BEE5" w14:textId="20913611" w:rsidR="00D15CE3" w:rsidRPr="007F2A01" w:rsidRDefault="00D15CE3" w:rsidP="00770F75">
      <w:pPr>
        <w:pStyle w:val="BodyText"/>
        <w:rPr>
          <w:lang w:val="en-GB"/>
        </w:rPr>
      </w:pPr>
      <w:r w:rsidRPr="007F2A01">
        <w:rPr>
          <w:lang w:val="en-GB"/>
        </w:rPr>
        <w:t xml:space="preserve">The Manager shall be entitled to a management fee payable out of the assets of the Fund (the </w:t>
      </w:r>
      <w:r w:rsidR="004146D0" w:rsidRPr="007F2A01">
        <w:rPr>
          <w:lang w:val="en-GB"/>
        </w:rPr>
        <w:t>“</w:t>
      </w:r>
      <w:r w:rsidRPr="007F2A01">
        <w:rPr>
          <w:b/>
          <w:lang w:val="en-GB"/>
        </w:rPr>
        <w:t>Management Fee</w:t>
      </w:r>
      <w:r w:rsidR="004146D0" w:rsidRPr="007F2A01">
        <w:rPr>
          <w:lang w:val="en-GB"/>
        </w:rPr>
        <w:t>”</w:t>
      </w:r>
      <w:r w:rsidRPr="007F2A01">
        <w:rPr>
          <w:lang w:val="en-GB"/>
        </w:rPr>
        <w:t>).</w:t>
      </w:r>
    </w:p>
    <w:p w14:paraId="0F3D5B98" w14:textId="77777777" w:rsidR="00D15CE3" w:rsidRPr="007F2A01" w:rsidRDefault="00D15CE3" w:rsidP="00770F75">
      <w:pPr>
        <w:pStyle w:val="BodyText"/>
        <w:rPr>
          <w:lang w:val="en-GB"/>
        </w:rPr>
      </w:pPr>
    </w:p>
    <w:p w14:paraId="6348C5EC" w14:textId="3F49AAFB" w:rsidR="00D15CE3" w:rsidRPr="007F2A01" w:rsidRDefault="00D15CE3" w:rsidP="007F2A01">
      <w:pPr>
        <w:pStyle w:val="BodyText"/>
        <w:rPr>
          <w:lang w:val="en-GB"/>
        </w:rPr>
      </w:pPr>
      <w:r w:rsidRPr="007F2A01">
        <w:rPr>
          <w:lang w:val="en-GB"/>
        </w:rPr>
        <w:t>The Management Fee is payable monthly</w:t>
      </w:r>
      <w:r w:rsidR="00B93DCD" w:rsidRPr="007F2A01">
        <w:rPr>
          <w:lang w:val="en-GB"/>
        </w:rPr>
        <w:t xml:space="preserve"> </w:t>
      </w:r>
      <w:r w:rsidRPr="007F2A01">
        <w:rPr>
          <w:lang w:val="en-GB"/>
        </w:rPr>
        <w:t xml:space="preserve">in arrear and is calculated by reference to the Net Asset Value of the Fund as at </w:t>
      </w:r>
      <w:r w:rsidR="00B93DCD" w:rsidRPr="007F2A01">
        <w:rPr>
          <w:lang w:val="en-GB"/>
        </w:rPr>
        <w:t xml:space="preserve">the Valuation Point in respect of </w:t>
      </w:r>
      <w:r w:rsidRPr="007F2A01">
        <w:rPr>
          <w:lang w:val="en-GB"/>
        </w:rPr>
        <w:t>each Dealing Da</w:t>
      </w:r>
      <w:r w:rsidR="00E3399D" w:rsidRPr="007F2A01">
        <w:rPr>
          <w:lang w:val="en-GB"/>
        </w:rPr>
        <w:t xml:space="preserve">y. </w:t>
      </w:r>
      <w:r w:rsidRPr="007F2A01">
        <w:rPr>
          <w:lang w:val="en-GB"/>
        </w:rPr>
        <w:t xml:space="preserve"> The current Management Fee payable in respect of the Fund is calculated on a sliding scale according to the Net Asset Value of the Fund and is subject </w:t>
      </w:r>
      <w:r w:rsidR="00B93DCD" w:rsidRPr="007F2A01">
        <w:rPr>
          <w:lang w:val="en-GB"/>
        </w:rPr>
        <w:t>to a minimum annual fee of EUR 2</w:t>
      </w:r>
      <w:r w:rsidRPr="007F2A01">
        <w:rPr>
          <w:lang w:val="en-GB"/>
        </w:rPr>
        <w:t>0,000 per annum:</w:t>
      </w:r>
      <w:r w:rsidR="00B93DCD" w:rsidRPr="007F2A01">
        <w:rPr>
          <w:lang w:val="en-GB"/>
        </w:rPr>
        <w:t xml:space="preserve"> </w:t>
      </w:r>
    </w:p>
    <w:p w14:paraId="79DDCDD1" w14:textId="77777777" w:rsidR="00D15CE3" w:rsidRPr="007F2A01" w:rsidRDefault="00D15CE3" w:rsidP="007F2A01">
      <w:pPr>
        <w:pStyle w:val="BodyText"/>
        <w:rPr>
          <w:lang w:val="en-GB"/>
        </w:rPr>
      </w:pPr>
    </w:p>
    <w:tbl>
      <w:tblPr>
        <w:tblW w:w="0" w:type="auto"/>
        <w:tblInd w:w="567" w:type="dxa"/>
        <w:tblLayout w:type="fixed"/>
        <w:tblCellMar>
          <w:left w:w="0" w:type="dxa"/>
          <w:right w:w="0" w:type="dxa"/>
        </w:tblCellMar>
        <w:tblLook w:val="01E0" w:firstRow="1" w:lastRow="1" w:firstColumn="1" w:lastColumn="1" w:noHBand="0" w:noVBand="0"/>
      </w:tblPr>
      <w:tblGrid>
        <w:gridCol w:w="4223"/>
        <w:gridCol w:w="3291"/>
      </w:tblGrid>
      <w:tr w:rsidR="00D15CE3" w:rsidRPr="0074751A" w14:paraId="183BECAB" w14:textId="77777777" w:rsidTr="00770F75">
        <w:trPr>
          <w:trHeight w:val="218"/>
        </w:trPr>
        <w:tc>
          <w:tcPr>
            <w:tcW w:w="4223" w:type="dxa"/>
          </w:tcPr>
          <w:p w14:paraId="4D2DB805" w14:textId="77777777" w:rsidR="00D15CE3" w:rsidRPr="007F2A01" w:rsidRDefault="00D15CE3" w:rsidP="007F2A01">
            <w:pPr>
              <w:pStyle w:val="TableParagraph"/>
              <w:widowControl/>
              <w:spacing w:line="199" w:lineRule="exact"/>
              <w:ind w:left="0"/>
              <w:rPr>
                <w:b/>
                <w:lang w:val="en-GB"/>
              </w:rPr>
            </w:pPr>
            <w:r w:rsidRPr="007F2A01">
              <w:rPr>
                <w:b/>
                <w:lang w:val="en-GB"/>
              </w:rPr>
              <w:t>NAV</w:t>
            </w:r>
          </w:p>
        </w:tc>
        <w:tc>
          <w:tcPr>
            <w:tcW w:w="3291" w:type="dxa"/>
          </w:tcPr>
          <w:p w14:paraId="6DF983A3" w14:textId="77777777" w:rsidR="00D15CE3" w:rsidRPr="007F2A01" w:rsidRDefault="00D15CE3" w:rsidP="007F2A01">
            <w:pPr>
              <w:pStyle w:val="TableParagraph"/>
              <w:widowControl/>
              <w:spacing w:line="199" w:lineRule="exact"/>
              <w:ind w:left="0"/>
              <w:rPr>
                <w:b/>
                <w:lang w:val="en-GB"/>
              </w:rPr>
            </w:pPr>
            <w:r w:rsidRPr="007F2A01">
              <w:rPr>
                <w:b/>
                <w:lang w:val="en-GB"/>
              </w:rPr>
              <w:t>% Management Fee</w:t>
            </w:r>
          </w:p>
        </w:tc>
      </w:tr>
      <w:tr w:rsidR="00D15CE3" w:rsidRPr="0074751A" w14:paraId="220B6D32" w14:textId="77777777" w:rsidTr="00770F75">
        <w:trPr>
          <w:trHeight w:val="218"/>
        </w:trPr>
        <w:tc>
          <w:tcPr>
            <w:tcW w:w="4223" w:type="dxa"/>
          </w:tcPr>
          <w:p w14:paraId="4DF317B0" w14:textId="77777777" w:rsidR="00D15CE3" w:rsidRPr="007F2A01" w:rsidRDefault="00D15CE3" w:rsidP="007F2A01">
            <w:pPr>
              <w:pStyle w:val="TableParagraph"/>
              <w:widowControl/>
              <w:spacing w:line="198" w:lineRule="exact"/>
              <w:ind w:left="0"/>
              <w:rPr>
                <w:lang w:val="en-GB"/>
              </w:rPr>
            </w:pPr>
            <w:r w:rsidRPr="007F2A01">
              <w:rPr>
                <w:lang w:val="en-GB"/>
              </w:rPr>
              <w:t>Up to 100 million Euros</w:t>
            </w:r>
          </w:p>
        </w:tc>
        <w:tc>
          <w:tcPr>
            <w:tcW w:w="3291" w:type="dxa"/>
          </w:tcPr>
          <w:p w14:paraId="01E0A44A" w14:textId="13D032A2" w:rsidR="00D15CE3" w:rsidRPr="007F2A01" w:rsidRDefault="00B93DCD" w:rsidP="007F2A01">
            <w:pPr>
              <w:pStyle w:val="TableParagraph"/>
              <w:widowControl/>
              <w:spacing w:line="198" w:lineRule="exact"/>
              <w:ind w:left="0"/>
              <w:rPr>
                <w:lang w:val="en-GB"/>
              </w:rPr>
            </w:pPr>
            <w:r w:rsidRPr="007F2A01">
              <w:rPr>
                <w:lang w:val="en-GB"/>
              </w:rPr>
              <w:t>0.08</w:t>
            </w:r>
            <w:r w:rsidR="00D15CE3" w:rsidRPr="007F2A01">
              <w:rPr>
                <w:lang w:val="en-GB"/>
              </w:rPr>
              <w:t>%</w:t>
            </w:r>
          </w:p>
        </w:tc>
      </w:tr>
      <w:tr w:rsidR="00D15CE3" w:rsidRPr="0074751A" w14:paraId="086A73D8" w14:textId="77777777" w:rsidTr="00770F75">
        <w:trPr>
          <w:trHeight w:val="218"/>
        </w:trPr>
        <w:tc>
          <w:tcPr>
            <w:tcW w:w="4223" w:type="dxa"/>
          </w:tcPr>
          <w:p w14:paraId="2B68E77E" w14:textId="77777777" w:rsidR="00D15CE3" w:rsidRPr="007F2A01" w:rsidRDefault="00D15CE3" w:rsidP="007F2A01">
            <w:pPr>
              <w:pStyle w:val="TableParagraph"/>
              <w:widowControl/>
              <w:spacing w:line="199" w:lineRule="exact"/>
              <w:ind w:left="0"/>
              <w:rPr>
                <w:lang w:val="en-GB"/>
              </w:rPr>
            </w:pPr>
            <w:r w:rsidRPr="007F2A01">
              <w:rPr>
                <w:lang w:val="en-GB"/>
              </w:rPr>
              <w:t>Greater than 100 million Euros</w:t>
            </w:r>
          </w:p>
        </w:tc>
        <w:tc>
          <w:tcPr>
            <w:tcW w:w="3291" w:type="dxa"/>
          </w:tcPr>
          <w:p w14:paraId="72858C76" w14:textId="3C64E82B" w:rsidR="00D15CE3" w:rsidRPr="007F2A01" w:rsidRDefault="00D15CE3" w:rsidP="007F2A01">
            <w:pPr>
              <w:pStyle w:val="TableParagraph"/>
              <w:widowControl/>
              <w:spacing w:line="199" w:lineRule="exact"/>
              <w:ind w:left="0"/>
              <w:rPr>
                <w:lang w:val="en-GB"/>
              </w:rPr>
            </w:pPr>
            <w:r w:rsidRPr="007F2A01">
              <w:rPr>
                <w:lang w:val="en-GB"/>
              </w:rPr>
              <w:t>0.0</w:t>
            </w:r>
            <w:r w:rsidR="00B93DCD" w:rsidRPr="007F2A01">
              <w:rPr>
                <w:lang w:val="en-GB"/>
              </w:rPr>
              <w:t>4</w:t>
            </w:r>
            <w:r w:rsidRPr="007F2A01">
              <w:rPr>
                <w:lang w:val="en-GB"/>
              </w:rPr>
              <w:t>%</w:t>
            </w:r>
          </w:p>
        </w:tc>
      </w:tr>
    </w:tbl>
    <w:p w14:paraId="76EAEB60" w14:textId="77777777" w:rsidR="00D15CE3" w:rsidRPr="007F2A01" w:rsidRDefault="00D15CE3" w:rsidP="00770F75">
      <w:pPr>
        <w:pStyle w:val="BodyText"/>
        <w:rPr>
          <w:lang w:val="en-GB"/>
        </w:rPr>
      </w:pPr>
    </w:p>
    <w:p w14:paraId="2D54ADC6" w14:textId="024229D3" w:rsidR="00D15CE3" w:rsidRPr="007F2A01" w:rsidRDefault="00D15CE3" w:rsidP="00770F75">
      <w:pPr>
        <w:pStyle w:val="BodyText"/>
        <w:rPr>
          <w:lang w:val="en-GB"/>
        </w:rPr>
      </w:pPr>
      <w:r w:rsidRPr="007F2A01">
        <w:rPr>
          <w:lang w:val="en-GB"/>
        </w:rPr>
        <w:t xml:space="preserve">A fee greater than the Management Fee set out in this Supplement may at any time be charged, upon </w:t>
      </w:r>
      <w:r w:rsidR="00B93DCD" w:rsidRPr="007F2A01">
        <w:rPr>
          <w:lang w:val="en-GB"/>
        </w:rPr>
        <w:t>approval of the</w:t>
      </w:r>
      <w:r w:rsidRPr="007F2A01">
        <w:rPr>
          <w:lang w:val="en-GB"/>
        </w:rPr>
        <w:t xml:space="preserve"> Shareholders, and in accordance with the requirements of the Central Bank.</w:t>
      </w:r>
    </w:p>
    <w:p w14:paraId="249B4DFD" w14:textId="77777777" w:rsidR="00D15CE3" w:rsidRPr="007F2A01" w:rsidRDefault="00D15CE3" w:rsidP="00770F75">
      <w:pPr>
        <w:pStyle w:val="BodyText"/>
        <w:rPr>
          <w:lang w:val="en-GB"/>
        </w:rPr>
      </w:pPr>
    </w:p>
    <w:p w14:paraId="750B9A34" w14:textId="77777777" w:rsidR="00D15CE3" w:rsidRPr="007F2A01" w:rsidRDefault="00D15CE3" w:rsidP="00770F75">
      <w:pPr>
        <w:pStyle w:val="BodyText"/>
        <w:rPr>
          <w:lang w:val="en-GB"/>
        </w:rPr>
      </w:pPr>
      <w:r w:rsidRPr="007F2A01">
        <w:rPr>
          <w:lang w:val="en-GB"/>
        </w:rPr>
        <w:t>The Manager shall also be reimbursed by the Fund for all fees and properly vouched expenses reasonably incurred by the Manager in the performance of its duties.</w:t>
      </w:r>
    </w:p>
    <w:p w14:paraId="5927BF0A" w14:textId="77777777" w:rsidR="00D15CE3" w:rsidRPr="007F2A01" w:rsidRDefault="00D15CE3" w:rsidP="00770F75">
      <w:pPr>
        <w:pStyle w:val="BodyText"/>
        <w:rPr>
          <w:lang w:val="en-GB"/>
        </w:rPr>
      </w:pPr>
    </w:p>
    <w:p w14:paraId="64D8D01A" w14:textId="77777777" w:rsidR="00D15CE3" w:rsidRPr="007F2A01" w:rsidRDefault="00D15CE3" w:rsidP="00770F75">
      <w:pPr>
        <w:pStyle w:val="BodyText"/>
        <w:rPr>
          <w:lang w:val="en-GB"/>
        </w:rPr>
      </w:pPr>
      <w:r w:rsidRPr="007F2A01">
        <w:rPr>
          <w:lang w:val="en-GB"/>
        </w:rPr>
        <w:t>Investors should refer to the relevant key investor information document for details of the ongoing charge figure applicable to each class of Shares which represents the current charges applied to that class of Shares.</w:t>
      </w:r>
    </w:p>
    <w:p w14:paraId="6CB45DBE" w14:textId="77777777" w:rsidR="00D15CE3" w:rsidRPr="007F2A01" w:rsidRDefault="00D15CE3" w:rsidP="00770F75">
      <w:pPr>
        <w:pStyle w:val="BodyText"/>
        <w:rPr>
          <w:lang w:val="en-GB"/>
        </w:rPr>
      </w:pPr>
    </w:p>
    <w:p w14:paraId="5E7D3C3B" w14:textId="5E35C6D0" w:rsidR="00D15CE3" w:rsidRPr="007F2A01" w:rsidRDefault="00D15CE3" w:rsidP="004146D0">
      <w:pPr>
        <w:pStyle w:val="BodyText"/>
        <w:rPr>
          <w:b/>
          <w:lang w:val="en-GB"/>
        </w:rPr>
      </w:pPr>
      <w:r w:rsidRPr="007F2A01">
        <w:rPr>
          <w:b/>
          <w:lang w:val="en-GB"/>
        </w:rPr>
        <w:t xml:space="preserve">Fees of the Investment </w:t>
      </w:r>
      <w:r w:rsidR="00B11C59" w:rsidRPr="007F2A01">
        <w:rPr>
          <w:b/>
          <w:lang w:val="en-GB"/>
        </w:rPr>
        <w:t>Manager</w:t>
      </w:r>
    </w:p>
    <w:p w14:paraId="057C872B" w14:textId="77777777" w:rsidR="00D15CE3" w:rsidRPr="007F2A01" w:rsidRDefault="00D15CE3" w:rsidP="004146D0">
      <w:pPr>
        <w:pStyle w:val="BodyText"/>
        <w:rPr>
          <w:lang w:val="en-GB"/>
        </w:rPr>
      </w:pPr>
    </w:p>
    <w:p w14:paraId="155A2709" w14:textId="08314085" w:rsidR="00D15CE3" w:rsidRPr="007F2A01" w:rsidRDefault="00D15CE3" w:rsidP="004146D0">
      <w:pPr>
        <w:pStyle w:val="BodyText"/>
        <w:rPr>
          <w:lang w:val="en-GB"/>
        </w:rPr>
      </w:pPr>
      <w:r w:rsidRPr="007F2A01">
        <w:rPr>
          <w:lang w:val="en-GB"/>
        </w:rPr>
        <w:t xml:space="preserve">The Investment </w:t>
      </w:r>
      <w:r w:rsidR="00B11C59" w:rsidRPr="007F2A01">
        <w:rPr>
          <w:lang w:val="en-GB"/>
        </w:rPr>
        <w:t>Manager</w:t>
      </w:r>
      <w:r w:rsidRPr="007F2A01">
        <w:rPr>
          <w:lang w:val="en-GB"/>
        </w:rPr>
        <w:t xml:space="preserve"> shall be entitled to a fee payable out of the assets of the Fund (the</w:t>
      </w:r>
      <w:r w:rsidR="00AD2E64" w:rsidRPr="007F2A01">
        <w:rPr>
          <w:lang w:val="en-GB"/>
        </w:rPr>
        <w:t xml:space="preserve"> </w:t>
      </w:r>
      <w:r w:rsidR="00431D2F" w:rsidRPr="007F2A01">
        <w:rPr>
          <w:lang w:val="en-GB"/>
        </w:rPr>
        <w:t>“</w:t>
      </w:r>
      <w:r w:rsidRPr="007F2A01">
        <w:rPr>
          <w:b/>
          <w:lang w:val="en-GB"/>
        </w:rPr>
        <w:t xml:space="preserve">Investment </w:t>
      </w:r>
      <w:r w:rsidR="00B11C59" w:rsidRPr="007F2A01">
        <w:rPr>
          <w:b/>
          <w:lang w:val="en-GB"/>
        </w:rPr>
        <w:t>Manage</w:t>
      </w:r>
      <w:r w:rsidR="003E7E63" w:rsidRPr="007F2A01">
        <w:rPr>
          <w:b/>
          <w:lang w:val="en-GB"/>
        </w:rPr>
        <w:t>ment</w:t>
      </w:r>
      <w:r w:rsidRPr="007F2A01">
        <w:rPr>
          <w:b/>
          <w:lang w:val="en-GB"/>
        </w:rPr>
        <w:t xml:space="preserve"> Fee</w:t>
      </w:r>
      <w:r w:rsidR="00431D2F" w:rsidRPr="007F2A01">
        <w:rPr>
          <w:lang w:val="en-GB"/>
        </w:rPr>
        <w:t>”</w:t>
      </w:r>
      <w:r w:rsidRPr="007F2A01">
        <w:rPr>
          <w:lang w:val="en-GB"/>
        </w:rPr>
        <w:t xml:space="preserve">). The Investment </w:t>
      </w:r>
      <w:r w:rsidR="00B11C59" w:rsidRPr="007F2A01">
        <w:rPr>
          <w:lang w:val="en-GB"/>
        </w:rPr>
        <w:t>Manage</w:t>
      </w:r>
      <w:r w:rsidR="003E7E63" w:rsidRPr="007F2A01">
        <w:rPr>
          <w:lang w:val="en-GB"/>
        </w:rPr>
        <w:t>ment</w:t>
      </w:r>
      <w:r w:rsidRPr="007F2A01">
        <w:rPr>
          <w:lang w:val="en-GB"/>
        </w:rPr>
        <w:t xml:space="preserve"> Fee is payable monthly in arrear and is calculated by reference to the Net Asset Value of the Fund as at each Dealing Day.</w:t>
      </w:r>
    </w:p>
    <w:p w14:paraId="3E983067" w14:textId="77777777" w:rsidR="00D15CE3" w:rsidRPr="007F2A01" w:rsidRDefault="00D15CE3" w:rsidP="004146D0">
      <w:pPr>
        <w:pStyle w:val="BodyText"/>
        <w:rPr>
          <w:lang w:val="en-GB"/>
        </w:rPr>
      </w:pPr>
    </w:p>
    <w:p w14:paraId="6F85B8BB" w14:textId="2C24EE36" w:rsidR="00D15CE3" w:rsidRPr="007F2A01" w:rsidRDefault="00D15CE3" w:rsidP="004146D0">
      <w:pPr>
        <w:pStyle w:val="BodyText"/>
        <w:rPr>
          <w:lang w:val="en-GB"/>
        </w:rPr>
      </w:pPr>
      <w:r w:rsidRPr="007F2A01">
        <w:rPr>
          <w:lang w:val="en-GB"/>
        </w:rPr>
        <w:t xml:space="preserve">The current Investment </w:t>
      </w:r>
      <w:r w:rsidR="00B11C59" w:rsidRPr="007F2A01">
        <w:rPr>
          <w:lang w:val="en-GB"/>
        </w:rPr>
        <w:t>Manage</w:t>
      </w:r>
      <w:r w:rsidR="003E7E63" w:rsidRPr="007F2A01">
        <w:rPr>
          <w:lang w:val="en-GB"/>
        </w:rPr>
        <w:t>ment</w:t>
      </w:r>
      <w:r w:rsidRPr="007F2A01">
        <w:rPr>
          <w:lang w:val="en-GB"/>
        </w:rPr>
        <w:t xml:space="preserve"> Fee payable in respect of each Class is set out in the table above. A fee greater than the Investment </w:t>
      </w:r>
      <w:r w:rsidR="00B11C59" w:rsidRPr="007F2A01">
        <w:rPr>
          <w:lang w:val="en-GB"/>
        </w:rPr>
        <w:t>Manage</w:t>
      </w:r>
      <w:r w:rsidR="003E7E63" w:rsidRPr="007F2A01">
        <w:rPr>
          <w:lang w:val="en-GB"/>
        </w:rPr>
        <w:t>ment</w:t>
      </w:r>
      <w:r w:rsidRPr="007F2A01">
        <w:rPr>
          <w:lang w:val="en-GB"/>
        </w:rPr>
        <w:t xml:space="preserve"> Fee set out in this Supplement may at any time be charged, upon proper notice to Shareholders, and in accordance with the requirements of the Central Bank.</w:t>
      </w:r>
    </w:p>
    <w:p w14:paraId="780CCB8D" w14:textId="77777777" w:rsidR="00D15CE3" w:rsidRPr="007F2A01" w:rsidRDefault="00D15CE3" w:rsidP="00770F75">
      <w:pPr>
        <w:pStyle w:val="BodyText"/>
        <w:rPr>
          <w:lang w:val="en-GB"/>
        </w:rPr>
      </w:pPr>
    </w:p>
    <w:p w14:paraId="1DE9D689" w14:textId="2A900AAA" w:rsidR="00D15CE3" w:rsidRPr="007F2A01" w:rsidRDefault="00D15CE3" w:rsidP="00770F75">
      <w:pPr>
        <w:pStyle w:val="BodyText"/>
        <w:rPr>
          <w:lang w:val="en-GB"/>
        </w:rPr>
      </w:pPr>
      <w:r w:rsidRPr="007F2A01">
        <w:rPr>
          <w:lang w:val="en-GB"/>
        </w:rPr>
        <w:t xml:space="preserve">The Investment </w:t>
      </w:r>
      <w:r w:rsidR="00B11C59" w:rsidRPr="007F2A01">
        <w:rPr>
          <w:lang w:val="en-GB"/>
        </w:rPr>
        <w:t>Manager</w:t>
      </w:r>
      <w:r w:rsidRPr="007F2A01">
        <w:rPr>
          <w:lang w:val="en-GB"/>
        </w:rPr>
        <w:t xml:space="preserve"> shall also be reimbursed by the Fund for all fees and properly vouched expenses reasonably incurred by the </w:t>
      </w:r>
      <w:r w:rsidRPr="0074751A">
        <w:rPr>
          <w:lang w:val="en-GB"/>
        </w:rPr>
        <w:t xml:space="preserve">Investment </w:t>
      </w:r>
      <w:r w:rsidRPr="007F2A01">
        <w:rPr>
          <w:lang w:val="en-GB"/>
        </w:rPr>
        <w:t xml:space="preserve">Manager in the performance of its duties. The Investment </w:t>
      </w:r>
      <w:r w:rsidR="00B11C59" w:rsidRPr="007F2A01">
        <w:rPr>
          <w:lang w:val="en-GB"/>
        </w:rPr>
        <w:t>Manager</w:t>
      </w:r>
      <w:r w:rsidRPr="007F2A01">
        <w:rPr>
          <w:lang w:val="en-GB"/>
        </w:rPr>
        <w:t>'s fee will include any fee to which it is entitled to as Distributor</w:t>
      </w:r>
      <w:r w:rsidRPr="0074751A">
        <w:rPr>
          <w:lang w:val="en-GB"/>
        </w:rPr>
        <w:t>.</w:t>
      </w:r>
    </w:p>
    <w:p w14:paraId="2ED8186B" w14:textId="77777777" w:rsidR="00D15CE3" w:rsidRPr="007F2A01" w:rsidRDefault="00D15CE3" w:rsidP="00770F75">
      <w:pPr>
        <w:pStyle w:val="BodyText"/>
        <w:rPr>
          <w:lang w:val="en-GB"/>
        </w:rPr>
      </w:pPr>
    </w:p>
    <w:p w14:paraId="332D81C3" w14:textId="77777777" w:rsidR="00D15CE3" w:rsidRPr="007F2A01" w:rsidRDefault="00D15CE3" w:rsidP="004146D0">
      <w:pPr>
        <w:pStyle w:val="BodyText"/>
        <w:rPr>
          <w:b/>
          <w:lang w:val="en-GB"/>
        </w:rPr>
      </w:pPr>
      <w:r w:rsidRPr="007F2A01">
        <w:rPr>
          <w:b/>
          <w:lang w:val="en-GB"/>
        </w:rPr>
        <w:t>Depositary Fee</w:t>
      </w:r>
    </w:p>
    <w:p w14:paraId="73D7D4DA" w14:textId="77777777" w:rsidR="00D15CE3" w:rsidRPr="007F2A01" w:rsidRDefault="00D15CE3" w:rsidP="004146D0">
      <w:pPr>
        <w:pStyle w:val="BodyText"/>
        <w:rPr>
          <w:lang w:val="en-GB"/>
        </w:rPr>
      </w:pPr>
    </w:p>
    <w:p w14:paraId="3A0DA62F" w14:textId="6484DFEB" w:rsidR="00D15CE3" w:rsidRPr="007F2A01" w:rsidRDefault="00D15CE3" w:rsidP="004146D0">
      <w:pPr>
        <w:pStyle w:val="BodyText"/>
        <w:rPr>
          <w:lang w:val="en-GB"/>
        </w:rPr>
      </w:pPr>
      <w:r w:rsidRPr="007F2A01">
        <w:rPr>
          <w:lang w:val="en-GB"/>
        </w:rPr>
        <w:t>The Fund shall discharge the Depositary’s fees and expenses (including any reasonable out of pocket expenses incurred on behalf of the Fund). The Depositary’s fee shall not exceed 0.04% of the Net Asset Value of the Fund which shall be calculated and accrued as of each Valuation Point and shall be payable monthly in arrear subject to a minimum annual fee of EUR 24,000.</w:t>
      </w:r>
    </w:p>
    <w:p w14:paraId="38AD1DA2" w14:textId="77777777" w:rsidR="00D15CE3" w:rsidRPr="007F2A01" w:rsidRDefault="00D15CE3" w:rsidP="004146D0">
      <w:pPr>
        <w:pStyle w:val="BodyText"/>
        <w:rPr>
          <w:lang w:val="en-GB"/>
        </w:rPr>
      </w:pPr>
    </w:p>
    <w:p w14:paraId="6456B168" w14:textId="77777777" w:rsidR="00D15CE3" w:rsidRPr="007F2A01" w:rsidRDefault="00D15CE3" w:rsidP="004146D0">
      <w:pPr>
        <w:pStyle w:val="BodyText"/>
        <w:rPr>
          <w:lang w:val="en-GB"/>
        </w:rPr>
      </w:pPr>
      <w:r w:rsidRPr="007F2A01">
        <w:rPr>
          <w:lang w:val="en-GB"/>
        </w:rPr>
        <w:t>The Fund shall pay certain additional fees to the Depositary for the settlement of transactions, for cash transfers and forex, for manual transactions and trade repairs, at normal commercial rates.</w:t>
      </w:r>
    </w:p>
    <w:p w14:paraId="6CE0CFA6" w14:textId="77777777" w:rsidR="00D15CE3" w:rsidRPr="007F2A01" w:rsidRDefault="00D15CE3" w:rsidP="004146D0">
      <w:pPr>
        <w:pStyle w:val="BodyText"/>
        <w:rPr>
          <w:lang w:val="en-GB"/>
        </w:rPr>
      </w:pPr>
    </w:p>
    <w:p w14:paraId="078B1097" w14:textId="77777777" w:rsidR="00D15CE3" w:rsidRPr="007F2A01" w:rsidRDefault="00D15CE3" w:rsidP="004146D0">
      <w:pPr>
        <w:pStyle w:val="BodyText"/>
        <w:rPr>
          <w:b/>
          <w:lang w:val="en-GB"/>
        </w:rPr>
      </w:pPr>
      <w:r w:rsidRPr="007F2A01">
        <w:rPr>
          <w:b/>
          <w:lang w:val="en-GB"/>
        </w:rPr>
        <w:t>Administrator’s Fee</w:t>
      </w:r>
    </w:p>
    <w:p w14:paraId="7D0818F0" w14:textId="77777777" w:rsidR="00D15CE3" w:rsidRPr="007F2A01" w:rsidRDefault="00D15CE3" w:rsidP="004146D0">
      <w:pPr>
        <w:pStyle w:val="BodyText"/>
        <w:rPr>
          <w:lang w:val="en-GB"/>
        </w:rPr>
      </w:pPr>
    </w:p>
    <w:p w14:paraId="3AB1B635" w14:textId="732F8946" w:rsidR="00D15CE3" w:rsidRPr="007F2A01" w:rsidRDefault="009F1C9F" w:rsidP="00770F75">
      <w:pPr>
        <w:pStyle w:val="BodyText"/>
        <w:rPr>
          <w:lang w:val="en-GB"/>
        </w:rPr>
      </w:pPr>
      <w:r w:rsidRPr="0074751A">
        <w:rPr>
          <w:lang w:val="en-GB"/>
        </w:rPr>
        <w:t xml:space="preserve">The Fund shall discharge the Administrator’s fees and expenses (including any reasonable out of pocket expenses </w:t>
      </w:r>
      <w:r w:rsidR="00D15CE3" w:rsidRPr="007F2A01">
        <w:rPr>
          <w:lang w:val="en-GB"/>
        </w:rPr>
        <w:t>incurred on behalf of the Fund). The Administrator’s fee shall not exceed 0.</w:t>
      </w:r>
      <w:r w:rsidR="00F31D43" w:rsidRPr="0074751A">
        <w:rPr>
          <w:lang w:val="en-GB"/>
        </w:rPr>
        <w:t>12</w:t>
      </w:r>
      <w:r w:rsidR="00D15CE3" w:rsidRPr="007F2A01">
        <w:rPr>
          <w:lang w:val="en-GB"/>
        </w:rPr>
        <w:t>% of the Net Asset Value of the Fund which shall be calculated and accrued as of each Valuation Point and shall be payable monthly in arrear</w:t>
      </w:r>
      <w:r w:rsidR="00F31D43" w:rsidRPr="0074751A">
        <w:rPr>
          <w:lang w:val="en-GB"/>
        </w:rPr>
        <w:t>s</w:t>
      </w:r>
      <w:r w:rsidR="00D15CE3" w:rsidRPr="007F2A01">
        <w:rPr>
          <w:lang w:val="en-GB"/>
        </w:rPr>
        <w:t xml:space="preserve"> subject to a minimum annual fee of </w:t>
      </w:r>
      <w:r w:rsidR="00F31D43" w:rsidRPr="0074751A">
        <w:rPr>
          <w:lang w:val="en-GB"/>
        </w:rPr>
        <w:t>USD36</w:t>
      </w:r>
      <w:r w:rsidR="00F31D43" w:rsidRPr="007F2A01">
        <w:rPr>
          <w:lang w:val="en-GB"/>
        </w:rPr>
        <w:t>,000</w:t>
      </w:r>
      <w:r w:rsidR="00D15CE3" w:rsidRPr="007F2A01">
        <w:rPr>
          <w:lang w:val="en-GB"/>
        </w:rPr>
        <w:t>.</w:t>
      </w:r>
    </w:p>
    <w:p w14:paraId="4EA7F561" w14:textId="77777777" w:rsidR="00D15CE3" w:rsidRPr="007F2A01" w:rsidRDefault="00D15CE3" w:rsidP="00770F75">
      <w:pPr>
        <w:pStyle w:val="BodyText"/>
        <w:rPr>
          <w:lang w:val="en-GB"/>
        </w:rPr>
      </w:pPr>
    </w:p>
    <w:p w14:paraId="14C51ECA" w14:textId="23D81371" w:rsidR="00D15CE3" w:rsidRPr="007F2A01" w:rsidRDefault="00D15CE3" w:rsidP="00770F75">
      <w:pPr>
        <w:pStyle w:val="BodyText"/>
        <w:rPr>
          <w:lang w:val="en-GB"/>
        </w:rPr>
      </w:pPr>
      <w:bookmarkStart w:id="40" w:name="_Hlk174974729"/>
      <w:bookmarkStart w:id="41" w:name="_Hlk175578589"/>
      <w:r w:rsidRPr="0074751A">
        <w:rPr>
          <w:lang w:val="en-GB"/>
        </w:rPr>
        <w:t>The</w:t>
      </w:r>
      <w:r w:rsidR="00930726" w:rsidRPr="007F2A01">
        <w:rPr>
          <w:lang w:val="en-GB"/>
        </w:rPr>
        <w:t xml:space="preserve"> Fund shall pay certain additional fees to the Administrator for additional Classes of Shares, </w:t>
      </w:r>
      <w:r w:rsidR="007C41D1" w:rsidRPr="0074751A">
        <w:rPr>
          <w:lang w:val="en-GB"/>
        </w:rPr>
        <w:t>for performance fee calculated,</w:t>
      </w:r>
      <w:r w:rsidR="00930726" w:rsidRPr="007F2A01">
        <w:rPr>
          <w:lang w:val="en-GB"/>
        </w:rPr>
        <w:t xml:space="preserve"> for </w:t>
      </w:r>
      <w:r w:rsidRPr="0074751A">
        <w:rPr>
          <w:lang w:val="en-GB"/>
        </w:rPr>
        <w:t>the production</w:t>
      </w:r>
      <w:r w:rsidR="00F465A2" w:rsidRPr="0074751A">
        <w:rPr>
          <w:lang w:val="en-GB"/>
        </w:rPr>
        <w:t xml:space="preserve"> of </w:t>
      </w:r>
      <w:r w:rsidRPr="0074751A">
        <w:rPr>
          <w:lang w:val="en-GB"/>
        </w:rPr>
        <w:t>financial statements,</w:t>
      </w:r>
      <w:bookmarkEnd w:id="40"/>
      <w:r w:rsidR="00930726" w:rsidRPr="007F2A01">
        <w:rPr>
          <w:lang w:val="en-GB"/>
        </w:rPr>
        <w:t xml:space="preserve"> for </w:t>
      </w:r>
      <w:r w:rsidRPr="0074751A">
        <w:rPr>
          <w:lang w:val="en-GB"/>
        </w:rPr>
        <w:t>filing the Fund’s VAT returns with</w:t>
      </w:r>
      <w:r w:rsidR="00F465A2" w:rsidRPr="0074751A">
        <w:rPr>
          <w:lang w:val="en-GB"/>
        </w:rPr>
        <w:t xml:space="preserve"> the </w:t>
      </w:r>
      <w:r w:rsidRPr="0074751A">
        <w:rPr>
          <w:lang w:val="en-GB"/>
        </w:rPr>
        <w:t>Irish Revenue Commissioners, for access</w:t>
      </w:r>
      <w:r w:rsidR="00930726" w:rsidRPr="007F2A01">
        <w:rPr>
          <w:lang w:val="en-GB"/>
        </w:rPr>
        <w:t xml:space="preserve"> to </w:t>
      </w:r>
      <w:r w:rsidRPr="0074751A">
        <w:rPr>
          <w:lang w:val="en-GB"/>
        </w:rPr>
        <w:t xml:space="preserve">on-line communications and </w:t>
      </w:r>
      <w:r w:rsidR="00930726" w:rsidRPr="007F2A01">
        <w:rPr>
          <w:lang w:val="en-GB"/>
        </w:rPr>
        <w:t xml:space="preserve">reporting </w:t>
      </w:r>
      <w:r w:rsidRPr="0074751A">
        <w:rPr>
          <w:lang w:val="en-GB"/>
        </w:rPr>
        <w:t>and for</w:t>
      </w:r>
      <w:r w:rsidR="00F465A2" w:rsidRPr="0074751A">
        <w:rPr>
          <w:lang w:val="en-GB"/>
        </w:rPr>
        <w:t xml:space="preserve"> the </w:t>
      </w:r>
      <w:r w:rsidRPr="0074751A">
        <w:rPr>
          <w:lang w:val="en-GB"/>
        </w:rPr>
        <w:t>set up and due diligence on investor accounts, the maintenance of the Fund’s Shareholder register and for Shareholder transaction processing, at normal commercial rates.</w:t>
      </w:r>
      <w:bookmarkEnd w:id="41"/>
    </w:p>
    <w:p w14:paraId="742BF298" w14:textId="77777777" w:rsidR="004146D0" w:rsidRPr="007F2A01" w:rsidRDefault="004146D0" w:rsidP="00770F75">
      <w:pPr>
        <w:pStyle w:val="BodyText"/>
        <w:rPr>
          <w:lang w:val="en-GB"/>
        </w:rPr>
      </w:pPr>
    </w:p>
    <w:p w14:paraId="693AEA52" w14:textId="77777777" w:rsidR="00D15CE3" w:rsidRPr="007F2A01" w:rsidRDefault="00D15CE3" w:rsidP="00F160E0">
      <w:pPr>
        <w:pStyle w:val="BodyText"/>
        <w:keepNext/>
        <w:rPr>
          <w:b/>
          <w:lang w:val="en-GB"/>
        </w:rPr>
      </w:pPr>
      <w:r w:rsidRPr="007F2A01">
        <w:rPr>
          <w:b/>
          <w:lang w:val="en-GB"/>
        </w:rPr>
        <w:t>Costs of Establishment of the ICAV and the Fund</w:t>
      </w:r>
    </w:p>
    <w:p w14:paraId="143C3BCF" w14:textId="77777777" w:rsidR="00D15CE3" w:rsidRPr="007F2A01" w:rsidRDefault="00D15CE3" w:rsidP="00F160E0">
      <w:pPr>
        <w:pStyle w:val="BodyText"/>
        <w:keepNext/>
        <w:rPr>
          <w:lang w:val="en-GB"/>
        </w:rPr>
      </w:pPr>
    </w:p>
    <w:p w14:paraId="65CF3CE1" w14:textId="1EE70E07" w:rsidR="00D15CE3" w:rsidRPr="007F2A01" w:rsidRDefault="00D15CE3" w:rsidP="00770F75">
      <w:pPr>
        <w:pStyle w:val="BodyText"/>
        <w:rPr>
          <w:lang w:val="en-GB"/>
        </w:rPr>
      </w:pPr>
      <w:r w:rsidRPr="007F2A01">
        <w:rPr>
          <w:lang w:val="en-GB"/>
        </w:rPr>
        <w:t xml:space="preserve">The preliminary expenses incurred in connection with the establishment of the ICAV, including obtaining authorisation from any authority, where applicable, filing fees, the preparation and printing of this Prospectus, marketing costs and the fees of all professionals relating to it will be borne by the Investment </w:t>
      </w:r>
      <w:r w:rsidR="00B11C59" w:rsidRPr="007F2A01">
        <w:rPr>
          <w:lang w:val="en-GB"/>
        </w:rPr>
        <w:t>Manager</w:t>
      </w:r>
      <w:r w:rsidRPr="007F2A01">
        <w:rPr>
          <w:lang w:val="en-GB"/>
        </w:rPr>
        <w:t xml:space="preserve"> and are estimated not to exceed the sum stated in the Prospectus.</w:t>
      </w:r>
    </w:p>
    <w:p w14:paraId="5A5F64EB" w14:textId="77777777" w:rsidR="00D15CE3" w:rsidRPr="007F2A01" w:rsidRDefault="00D15CE3" w:rsidP="00770F75">
      <w:pPr>
        <w:pStyle w:val="BodyText"/>
        <w:rPr>
          <w:lang w:val="en-GB"/>
        </w:rPr>
      </w:pPr>
    </w:p>
    <w:p w14:paraId="18AF7BC4" w14:textId="77777777" w:rsidR="00D15CE3" w:rsidRPr="007F2A01" w:rsidRDefault="00D15CE3" w:rsidP="00770F75">
      <w:pPr>
        <w:pStyle w:val="BodyText"/>
        <w:rPr>
          <w:lang w:val="en-GB"/>
        </w:rPr>
      </w:pPr>
      <w:r w:rsidRPr="007F2A01">
        <w:rPr>
          <w:lang w:val="en-GB"/>
        </w:rPr>
        <w:t>The cost of establishing the Fund and the initial issue of the Shares of the Fund will be paid out of the assets of the Fund and will be amortised over a five year period from Fund launch. The preliminary expenses incurred in connection with the establishment of the Fund are estimated not to exceed EUR 30,000.</w:t>
      </w:r>
    </w:p>
    <w:p w14:paraId="1F2BD35D" w14:textId="77777777" w:rsidR="00D15CE3" w:rsidRPr="007F2A01" w:rsidRDefault="00D15CE3" w:rsidP="004146D0">
      <w:pPr>
        <w:pStyle w:val="BodyText"/>
        <w:rPr>
          <w:lang w:val="en-GB"/>
        </w:rPr>
      </w:pPr>
    </w:p>
    <w:p w14:paraId="6F58635C" w14:textId="77777777" w:rsidR="00D15CE3" w:rsidRPr="007F2A01" w:rsidRDefault="00D15CE3" w:rsidP="007F2A01">
      <w:pPr>
        <w:pStyle w:val="BodyText"/>
        <w:rPr>
          <w:b/>
          <w:lang w:val="en-GB"/>
        </w:rPr>
      </w:pPr>
      <w:r w:rsidRPr="007F2A01">
        <w:rPr>
          <w:b/>
          <w:lang w:val="en-GB"/>
        </w:rPr>
        <w:t>Fees in Underlying Collective Investment Scheme (“CIS”)</w:t>
      </w:r>
    </w:p>
    <w:p w14:paraId="2CE8B2B0" w14:textId="77777777" w:rsidR="00D15CE3" w:rsidRPr="007F2A01" w:rsidRDefault="00D15CE3" w:rsidP="007F2A01">
      <w:pPr>
        <w:pStyle w:val="BodyText"/>
        <w:rPr>
          <w:lang w:val="en-GB"/>
        </w:rPr>
      </w:pPr>
    </w:p>
    <w:p w14:paraId="761BE3EC" w14:textId="1B30A76B" w:rsidR="00D15CE3" w:rsidRPr="007F2A01" w:rsidRDefault="00D15CE3" w:rsidP="00770F75">
      <w:pPr>
        <w:pStyle w:val="BodyText"/>
        <w:rPr>
          <w:lang w:val="en-GB"/>
        </w:rPr>
      </w:pPr>
      <w:r w:rsidRPr="007F2A01">
        <w:rPr>
          <w:lang w:val="en-GB"/>
        </w:rPr>
        <w:t xml:space="preserve">The Fund may, subject to the conditions set out in section </w:t>
      </w:r>
      <w:r w:rsidR="00431D2F" w:rsidRPr="007F2A01">
        <w:rPr>
          <w:lang w:val="en-GB"/>
        </w:rPr>
        <w:t>4</w:t>
      </w:r>
      <w:r w:rsidR="00640F15" w:rsidRPr="007F2A01">
        <w:rPr>
          <w:lang w:val="en-GB"/>
        </w:rPr>
        <w:t xml:space="preserve"> </w:t>
      </w:r>
      <w:r w:rsidRPr="007F2A01">
        <w:rPr>
          <w:lang w:val="en-GB"/>
        </w:rPr>
        <w:t>“INVESTMENT RESTRICTIONS” of this Supplement, invest in other CIS. As an investor in such other CIS, in addition to the fees, costs and expenses payable by a Shareholder in the Funds, each Shareholder may also indirectly bear a portion of the fees, costs and expenses of the underlying CIS, including management, investment management and, administration and other expenses. The maximum level of management fees that may be charged in relation to that portion of the Fund assets invested in other CIS should not exceed 0.1% of the CIS’s Net Asset Value if it is up to 100 million Euros and should not exceed 0.05% of the CIS’s Net Asset Value if it is greater than 100 million Euros.</w:t>
      </w:r>
    </w:p>
    <w:p w14:paraId="2703DAB5" w14:textId="77777777" w:rsidR="00D15CE3" w:rsidRPr="007F2A01" w:rsidRDefault="00D15CE3" w:rsidP="00770F75">
      <w:pPr>
        <w:pStyle w:val="BodyText"/>
        <w:rPr>
          <w:lang w:val="en-GB"/>
        </w:rPr>
      </w:pPr>
    </w:p>
    <w:p w14:paraId="53944086" w14:textId="5242AD01" w:rsidR="00F357B2" w:rsidRPr="007F2A01" w:rsidRDefault="00D15CE3" w:rsidP="004146D0">
      <w:pPr>
        <w:pStyle w:val="ListParagraph"/>
        <w:rPr>
          <w:lang w:val="en-GB"/>
        </w:rPr>
      </w:pPr>
      <w:bookmarkStart w:id="42" w:name="_Toc98335018"/>
      <w:bookmarkStart w:id="43" w:name="_Toc172121799"/>
      <w:r w:rsidRPr="007F2A01">
        <w:rPr>
          <w:lang w:val="en-GB"/>
        </w:rPr>
        <w:t>MISCELLANEOUS</w:t>
      </w:r>
      <w:bookmarkEnd w:id="42"/>
      <w:bookmarkEnd w:id="43"/>
    </w:p>
    <w:p w14:paraId="021B5CF6" w14:textId="77777777" w:rsidR="00192D3F" w:rsidRPr="007F2A01" w:rsidRDefault="00192D3F" w:rsidP="004146D0">
      <w:pPr>
        <w:pStyle w:val="BodyText"/>
        <w:keepNext/>
        <w:rPr>
          <w:b/>
          <w:lang w:val="en-GB"/>
        </w:rPr>
      </w:pPr>
      <w:r w:rsidRPr="007F2A01">
        <w:rPr>
          <w:lang w:val="en-GB"/>
        </w:rPr>
        <w:t>The name XSE stands for:</w:t>
      </w:r>
    </w:p>
    <w:p w14:paraId="6EC9F3A0" w14:textId="77777777" w:rsidR="00192D3F" w:rsidRPr="007F2A01" w:rsidRDefault="00192D3F" w:rsidP="004146D0">
      <w:pPr>
        <w:pStyle w:val="BodyText"/>
        <w:keepNext/>
        <w:rPr>
          <w:b/>
          <w:lang w:val="en-GB"/>
        </w:rPr>
      </w:pPr>
    </w:p>
    <w:p w14:paraId="54942C0D" w14:textId="77777777" w:rsidR="00192D3F" w:rsidRPr="007F2A01" w:rsidRDefault="00192D3F" w:rsidP="004146D0">
      <w:pPr>
        <w:pStyle w:val="BodyText"/>
        <w:keepNext/>
        <w:rPr>
          <w:b/>
          <w:lang w:val="en-GB"/>
        </w:rPr>
      </w:pPr>
      <w:r w:rsidRPr="007F2A01">
        <w:rPr>
          <w:lang w:val="en-GB"/>
        </w:rPr>
        <w:t>X – Cross-Asset</w:t>
      </w:r>
    </w:p>
    <w:p w14:paraId="536AC0EB" w14:textId="77777777" w:rsidR="00192D3F" w:rsidRPr="007F2A01" w:rsidRDefault="00192D3F" w:rsidP="004146D0">
      <w:pPr>
        <w:pStyle w:val="BodyText"/>
        <w:keepNext/>
        <w:rPr>
          <w:b/>
          <w:lang w:val="en-GB"/>
        </w:rPr>
      </w:pPr>
      <w:r w:rsidRPr="007F2A01">
        <w:rPr>
          <w:lang w:val="en-GB"/>
        </w:rPr>
        <w:t>S – Strategic</w:t>
      </w:r>
    </w:p>
    <w:p w14:paraId="4177DB2D" w14:textId="0BFEFF6A" w:rsidR="00192D3F" w:rsidRPr="007F2A01" w:rsidRDefault="00192D3F" w:rsidP="004146D0">
      <w:pPr>
        <w:pStyle w:val="BodyText"/>
        <w:rPr>
          <w:b/>
          <w:lang w:val="en-GB"/>
        </w:rPr>
      </w:pPr>
      <w:r w:rsidRPr="007F2A01">
        <w:rPr>
          <w:lang w:val="en-GB"/>
        </w:rPr>
        <w:t>E – Equity</w:t>
      </w:r>
    </w:p>
    <w:p w14:paraId="509942E0" w14:textId="18BD934A" w:rsidR="00C874CF" w:rsidRPr="007F2A01" w:rsidRDefault="00C874CF" w:rsidP="004146D0">
      <w:pPr>
        <w:pStyle w:val="BodyText"/>
        <w:rPr>
          <w:b/>
          <w:lang w:val="en-GB"/>
        </w:rPr>
      </w:pPr>
    </w:p>
    <w:p w14:paraId="16153AA3" w14:textId="6C5B1AAC" w:rsidR="00F357B2" w:rsidRPr="007F2A01" w:rsidRDefault="00F357B2" w:rsidP="004146D0">
      <w:pPr>
        <w:pStyle w:val="BodyText"/>
        <w:keepNext/>
        <w:rPr>
          <w:b/>
          <w:lang w:val="en-GB"/>
        </w:rPr>
      </w:pPr>
      <w:r w:rsidRPr="007F2A01">
        <w:rPr>
          <w:lang w:val="en-GB"/>
        </w:rPr>
        <w:t>Nanjia Capital ICAV has the following sub-funds:</w:t>
      </w:r>
    </w:p>
    <w:p w14:paraId="54AA7A4C" w14:textId="2B228689" w:rsidR="00F357B2" w:rsidRPr="007F2A01" w:rsidRDefault="00F357B2" w:rsidP="004146D0">
      <w:pPr>
        <w:pStyle w:val="BodyText"/>
        <w:keepNext/>
        <w:rPr>
          <w:b/>
          <w:lang w:val="en-GB"/>
        </w:rPr>
      </w:pPr>
    </w:p>
    <w:p w14:paraId="668FEFD6" w14:textId="62F1E530" w:rsidR="00F357B2" w:rsidRPr="007F2A01" w:rsidRDefault="00F357B2" w:rsidP="002853CD">
      <w:pPr>
        <w:pStyle w:val="BodyText"/>
        <w:keepNext/>
        <w:numPr>
          <w:ilvl w:val="0"/>
          <w:numId w:val="10"/>
        </w:numPr>
        <w:ind w:left="1134" w:hanging="567"/>
        <w:rPr>
          <w:lang w:val="en-GB"/>
        </w:rPr>
      </w:pPr>
      <w:r w:rsidRPr="007F2A01">
        <w:rPr>
          <w:lang w:val="en-GB"/>
        </w:rPr>
        <w:t xml:space="preserve">XSE </w:t>
      </w:r>
    </w:p>
    <w:p w14:paraId="6D7E2126" w14:textId="2F3901C5" w:rsidR="00F357B2" w:rsidRPr="007F2A01" w:rsidRDefault="00F357B2" w:rsidP="002853CD">
      <w:pPr>
        <w:pStyle w:val="BodyText"/>
        <w:keepNext/>
        <w:numPr>
          <w:ilvl w:val="0"/>
          <w:numId w:val="10"/>
        </w:numPr>
        <w:ind w:left="1134" w:hanging="567"/>
        <w:rPr>
          <w:lang w:val="en-GB"/>
        </w:rPr>
      </w:pPr>
      <w:r w:rsidRPr="007F2A01">
        <w:rPr>
          <w:lang w:val="en-GB"/>
        </w:rPr>
        <w:t>Civetta Nanjia Fund</w:t>
      </w:r>
    </w:p>
    <w:p w14:paraId="16DCC73E" w14:textId="505E15F2" w:rsidR="002368BA" w:rsidRPr="007F2A01" w:rsidRDefault="002368BA" w:rsidP="003853EA">
      <w:pPr>
        <w:pStyle w:val="BodyText"/>
        <w:keepNext/>
        <w:numPr>
          <w:ilvl w:val="0"/>
          <w:numId w:val="10"/>
        </w:numPr>
        <w:ind w:left="1134" w:hanging="567"/>
        <w:rPr>
          <w:lang w:val="en-GB"/>
        </w:rPr>
      </w:pPr>
      <w:r w:rsidRPr="007F2A01">
        <w:rPr>
          <w:lang w:val="en-GB"/>
        </w:rPr>
        <w:t>Cyrus</w:t>
      </w:r>
    </w:p>
    <w:sectPr w:rsidR="002368BA" w:rsidRPr="007F2A01" w:rsidSect="00B57B9A">
      <w:headerReference w:type="even" r:id="rId26"/>
      <w:headerReference w:type="default" r:id="rId27"/>
      <w:footerReference w:type="default" r:id="rId28"/>
      <w:headerReference w:type="first" r:id="rId29"/>
      <w:type w:val="continuous"/>
      <w:pgSz w:w="11900" w:h="16840"/>
      <w:pgMar w:top="1134" w:right="1134" w:bottom="1134" w:left="1134"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13DD2" w14:textId="66D5D9D6" w:rsidR="0007187C" w:rsidRDefault="0007187C" w:rsidP="00D15CE3">
      <w:r>
        <w:separator/>
      </w:r>
    </w:p>
  </w:endnote>
  <w:endnote w:type="continuationSeparator" w:id="0">
    <w:p w14:paraId="43B02502" w14:textId="3512D1AB" w:rsidR="0007187C" w:rsidRDefault="0007187C" w:rsidP="00D15CE3">
      <w:r>
        <w:continuationSeparator/>
      </w:r>
    </w:p>
  </w:endnote>
  <w:endnote w:type="continuationNotice" w:id="1">
    <w:p w14:paraId="2E9002D3" w14:textId="1DBB753D" w:rsidR="0007187C" w:rsidRDefault="00071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CA53" w14:textId="30195200" w:rsidR="00AF1C27" w:rsidRDefault="00A746D5" w:rsidP="007F2A01">
    <w:pPr>
      <w:pStyle w:val="FooterReference"/>
    </w:pPr>
    <w:fldSimple w:instr=" DOCVARIABLE #DNDocID \* MERGEFORMAT ">
      <w:r>
        <w:t>85990442.5</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92BF" w14:textId="77777777" w:rsidR="00C71D81" w:rsidRDefault="0047513B">
    <w:pPr>
      <w:pStyle w:val="Footer"/>
      <w:jc w:val="center"/>
      <w:rPr>
        <w:sz w:val="16"/>
        <w:szCs w:val="20"/>
      </w:rPr>
    </w:pPr>
    <w:r w:rsidRPr="007F5638">
      <w:fldChar w:fldCharType="begin"/>
    </w:r>
    <w:r w:rsidRPr="007F5638">
      <w:rPr>
        <w:sz w:val="14"/>
      </w:rPr>
      <w:instrText xml:space="preserve"> PAGE </w:instrText>
    </w:r>
    <w:r w:rsidRPr="007F5638">
      <w:fldChar w:fldCharType="separate"/>
    </w:r>
    <w:r w:rsidRPr="007F5638">
      <w:t>2</w:t>
    </w:r>
    <w:r w:rsidRPr="007F5638">
      <w:fldChar w:fldCharType="end"/>
    </w:r>
  </w:p>
  <w:p w14:paraId="0361DBEC" w14:textId="7B1C7CCA" w:rsidR="00AF1C27" w:rsidRPr="00AF1C27" w:rsidRDefault="00AF1C27">
    <w:pPr>
      <w:pStyle w:val="Footer"/>
      <w:jc w:val="center"/>
      <w:rPr>
        <w:sz w:val="16"/>
        <w:szCs w:val="20"/>
      </w:rPr>
    </w:pPr>
  </w:p>
  <w:p w14:paraId="6A2756BC" w14:textId="77777777" w:rsidR="008249DD" w:rsidRPr="00D12656" w:rsidRDefault="008249DD" w:rsidP="00D12656">
    <w:pPr>
      <w:pStyle w:val="FooterReference"/>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371A7" w14:textId="210530CB" w:rsidR="0039240C" w:rsidRPr="00D50A54" w:rsidRDefault="000C15C3" w:rsidP="0039240C">
    <w:pPr>
      <w:spacing w:before="19"/>
      <w:ind w:left="40"/>
      <w:jc w:val="center"/>
    </w:pPr>
    <w:r w:rsidRPr="00061B5D">
      <w:fldChar w:fldCharType="begin"/>
    </w:r>
    <w:r w:rsidRPr="00061B5D">
      <w:rPr>
        <w:sz w:val="14"/>
      </w:rPr>
      <w:instrText xml:space="preserve"> PAGE </w:instrText>
    </w:r>
    <w:r w:rsidRPr="00061B5D">
      <w:fldChar w:fldCharType="separate"/>
    </w:r>
    <w:r w:rsidRPr="00061B5D">
      <w:rPr>
        <w:noProof/>
        <w:sz w:val="14"/>
      </w:rPr>
      <w:t>9</w:t>
    </w:r>
    <w:r w:rsidRPr="00061B5D">
      <w:fldChar w:fldCharType="end"/>
    </w:r>
  </w:p>
  <w:p w14:paraId="3EABCAF7" w14:textId="77777777" w:rsidR="0039240C" w:rsidRPr="007F5638" w:rsidRDefault="0039240C" w:rsidP="00D50A54">
    <w:pPr>
      <w:spacing w:before="19"/>
      <w:ind w:left="40"/>
      <w:jc w:val="center"/>
    </w:pPr>
  </w:p>
  <w:p w14:paraId="0E692D7E" w14:textId="03F16F55" w:rsidR="00AF1C27" w:rsidRPr="007F2A01" w:rsidRDefault="0039240C" w:rsidP="007F2A01">
    <w:pPr>
      <w:spacing w:before="19"/>
      <w:ind w:left="40"/>
      <w:jc w:val="left"/>
      <w:rPr>
        <w:sz w:val="12"/>
      </w:rPr>
    </w:pPr>
    <w:r w:rsidRPr="007F5638">
      <w:rPr>
        <w:sz w:val="12"/>
      </w:rPr>
      <w:fldChar w:fldCharType="begin"/>
    </w:r>
    <w:r w:rsidRPr="00061B5D">
      <w:rPr>
        <w:sz w:val="12"/>
        <w:szCs w:val="16"/>
      </w:rPr>
      <w:instrText xml:space="preserve"> DOCPROPERTY iManageFooter \* MERGEFORMAT </w:instrText>
    </w:r>
    <w:r w:rsidRPr="007F5638">
      <w:rPr>
        <w:sz w:val="12"/>
      </w:rPr>
      <w:fldChar w:fldCharType="separate"/>
    </w:r>
    <w:r w:rsidR="00423778" w:rsidRPr="00423778">
      <w:rPr>
        <w:sz w:val="12"/>
      </w:rPr>
      <w:t xml:space="preserve">#630578429v4&lt;HONGKONG&gt; - </w:t>
    </w:r>
    <w:r w:rsidR="00423778">
      <w:rPr>
        <w:sz w:val="12"/>
        <w:szCs w:val="16"/>
      </w:rPr>
      <w:t xml:space="preserve">Supplement - Nanjia </w:t>
    </w:r>
    <w:r w:rsidR="00423778" w:rsidRPr="00423778">
      <w:rPr>
        <w:sz w:val="12"/>
      </w:rPr>
      <w:t xml:space="preserve">- XSE (dated 13 November </w:t>
    </w:r>
    <w:r w:rsidR="00423778">
      <w:rPr>
        <w:sz w:val="12"/>
        <w:szCs w:val="16"/>
      </w:rPr>
      <w:t>2024)</w:t>
    </w:r>
    <w:r w:rsidRPr="007F5638">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3D19" w14:textId="569A472B" w:rsidR="00AF1C27" w:rsidRDefault="00A746D5" w:rsidP="007F2A01">
    <w:pPr>
      <w:pStyle w:val="FooterReference"/>
    </w:pPr>
    <w:fldSimple w:instr=" DOCVARIABLE #DNDocID \* MERGEFORMAT ">
      <w:r>
        <w:t>85990442.5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8ECA" w14:textId="0FCCF4EB" w:rsidR="00250B93" w:rsidRPr="0092348E" w:rsidRDefault="00A746D5" w:rsidP="007F2A01">
    <w:pPr>
      <w:pStyle w:val="FooterReference1"/>
    </w:pPr>
    <w:fldSimple w:instr=" DOCVARIABLE #DNDocID \* MERGEFORMAT ">
      <w:r>
        <w:t>85990442.5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CA2B4" w14:textId="77777777" w:rsidR="0039240C" w:rsidRPr="00D50A54" w:rsidRDefault="000C15C3" w:rsidP="0039240C">
    <w:pPr>
      <w:spacing w:before="19"/>
      <w:ind w:left="40"/>
      <w:jc w:val="center"/>
    </w:pPr>
    <w:r>
      <w:fldChar w:fldCharType="begin"/>
    </w:r>
    <w:r>
      <w:rPr>
        <w:sz w:val="14"/>
      </w:rPr>
      <w:instrText xml:space="preserve"> PAGE </w:instrText>
    </w:r>
    <w:r>
      <w:fldChar w:fldCharType="separate"/>
    </w:r>
    <w:r>
      <w:rPr>
        <w:noProof/>
        <w:sz w:val="14"/>
      </w:rPr>
      <w:t>9</w:t>
    </w:r>
    <w:r>
      <w:fldChar w:fldCharType="end"/>
    </w:r>
  </w:p>
  <w:p w14:paraId="5F5AAA3B" w14:textId="77777777" w:rsidR="0039240C" w:rsidRDefault="0039240C" w:rsidP="00D50A54">
    <w:pPr>
      <w:spacing w:before="19"/>
      <w:ind w:left="40"/>
      <w:jc w:val="center"/>
    </w:pPr>
  </w:p>
  <w:p w14:paraId="25789772" w14:textId="61E012B6" w:rsidR="00250B93" w:rsidRPr="007F2A01" w:rsidRDefault="0039240C" w:rsidP="007F2A01">
    <w:pPr>
      <w:spacing w:before="19"/>
      <w:ind w:left="40"/>
      <w:jc w:val="left"/>
      <w:rPr>
        <w:sz w:val="14"/>
      </w:rPr>
    </w:pPr>
    <w:r>
      <w:rPr>
        <w:sz w:val="14"/>
        <w:szCs w:val="18"/>
      </w:rPr>
      <w:fldChar w:fldCharType="begin"/>
    </w:r>
    <w:r>
      <w:rPr>
        <w:sz w:val="14"/>
        <w:szCs w:val="18"/>
      </w:rPr>
      <w:instrText xml:space="preserve"> DOCPROPERTY iManageFooter \* MERGEFORMAT </w:instrText>
    </w:r>
    <w:r>
      <w:rPr>
        <w:sz w:val="14"/>
        <w:szCs w:val="18"/>
      </w:rPr>
      <w:fldChar w:fldCharType="separate"/>
    </w:r>
    <w:r w:rsidR="00423778">
      <w:rPr>
        <w:sz w:val="14"/>
        <w:szCs w:val="18"/>
      </w:rPr>
      <w:t>#630578429v4&lt;HONGKONG&gt; - Supplement - Nanjia - XSE (dated 13 November 2024)</w:t>
    </w:r>
    <w:r>
      <w:rPr>
        <w:sz w:val="14"/>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FEBDA" w14:textId="3591D810" w:rsidR="00250B93" w:rsidRPr="0092348E" w:rsidRDefault="00A746D5" w:rsidP="007F2A01">
    <w:pPr>
      <w:pStyle w:val="FooterReference1"/>
    </w:pPr>
    <w:fldSimple w:instr=" DOCVARIABLE #DNDocID \* MERGEFORMAT ">
      <w:r>
        <w:t>85990442.5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C92C" w14:textId="371ABDF2" w:rsidR="00392E2C" w:rsidRPr="0092348E" w:rsidRDefault="00A746D5" w:rsidP="007F2A01">
    <w:pPr>
      <w:pStyle w:val="FooterReference1"/>
    </w:pPr>
    <w:fldSimple w:instr=" DOCVARIABLE #DNDocID \* MERGEFORMAT ">
      <w:r>
        <w:t>85990442.5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AB7F7" w14:textId="5E6FFD36" w:rsidR="0039240C" w:rsidRPr="007F2A01" w:rsidRDefault="000C15C3" w:rsidP="007F2A01">
    <w:pPr>
      <w:pStyle w:val="FooterReference"/>
      <w:jc w:val="center"/>
      <w:rPr>
        <w:sz w:val="14"/>
      </w:rPr>
    </w:pPr>
    <w:r w:rsidRPr="00AA2B6C">
      <w:fldChar w:fldCharType="begin"/>
    </w:r>
    <w:r w:rsidRPr="00AA2B6C">
      <w:rPr>
        <w:sz w:val="14"/>
      </w:rPr>
      <w:instrText xml:space="preserve"> PAGE </w:instrText>
    </w:r>
    <w:r w:rsidRPr="00AA2B6C">
      <w:fldChar w:fldCharType="separate"/>
    </w:r>
    <w:r w:rsidRPr="00AA2B6C">
      <w:rPr>
        <w:noProof/>
        <w:sz w:val="14"/>
      </w:rPr>
      <w:t>9</w:t>
    </w:r>
    <w:r w:rsidRPr="00AA2B6C">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8BF66" w14:textId="7CC68A43" w:rsidR="00392E2C" w:rsidRPr="0092348E" w:rsidRDefault="00A746D5" w:rsidP="007F2A01">
    <w:pPr>
      <w:pStyle w:val="FooterReference1"/>
    </w:pPr>
    <w:fldSimple w:instr=" DOCVARIABLE #DNDocID \* MERGEFORMAT ">
      <w:r>
        <w:t>85990442.5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44BAD" w14:textId="447CCC2A" w:rsidR="0007187C" w:rsidRDefault="0007187C" w:rsidP="00D15CE3">
      <w:r>
        <w:separator/>
      </w:r>
    </w:p>
  </w:footnote>
  <w:footnote w:type="continuationSeparator" w:id="0">
    <w:p w14:paraId="4490103F" w14:textId="02B14CA4" w:rsidR="0007187C" w:rsidRDefault="0007187C" w:rsidP="00D15CE3">
      <w:r>
        <w:continuationSeparator/>
      </w:r>
    </w:p>
  </w:footnote>
  <w:footnote w:type="continuationNotice" w:id="1">
    <w:p w14:paraId="63BF7101" w14:textId="7D254218" w:rsidR="0007187C" w:rsidRDefault="00071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83AA3" w14:textId="34103C8D" w:rsidR="00AC05E1" w:rsidRDefault="00AC05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A3CC" w14:textId="77777777" w:rsidR="008249DD" w:rsidRPr="0092348E" w:rsidRDefault="008249DD" w:rsidP="0092348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43919" w14:textId="77777777" w:rsidR="008249DD" w:rsidRPr="0092348E" w:rsidRDefault="008249DD" w:rsidP="0092348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3EDD" w14:textId="77777777" w:rsidR="00250B93" w:rsidRDefault="00250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9C4F2" w14:textId="30589FA7" w:rsidR="001611DD" w:rsidRPr="0082100C" w:rsidRDefault="001611DD" w:rsidP="001611DD">
    <w:pPr>
      <w:pStyle w:val="Header"/>
      <w:jc w:val="right"/>
      <w:rPr>
        <w:sz w:val="16"/>
        <w:szCs w:val="20"/>
      </w:rPr>
    </w:pPr>
    <w:r w:rsidRPr="0082100C">
      <w:rPr>
        <w:sz w:val="16"/>
        <w:szCs w:val="20"/>
      </w:rPr>
      <w:t>[DRAFT FOR CBI SUBMISSION]</w:t>
    </w:r>
  </w:p>
  <w:p w14:paraId="10A21C25" w14:textId="766531D5" w:rsidR="00AF1C27" w:rsidRPr="007F2A01" w:rsidRDefault="001611DD" w:rsidP="007F2A01">
    <w:pPr>
      <w:pStyle w:val="Header"/>
      <w:jc w:val="right"/>
      <w:rPr>
        <w:sz w:val="16"/>
      </w:rPr>
    </w:pPr>
    <w:r w:rsidRPr="0082100C">
      <w:rPr>
        <w:sz w:val="16"/>
        <w:szCs w:val="20"/>
      </w:rPr>
      <w:t>[Dates to be inserted]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091A9" w14:textId="32008181" w:rsidR="00AC05E1" w:rsidRDefault="00AC05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B981" w14:textId="77777777" w:rsidR="00250B93" w:rsidRDefault="00250B93" w:rsidP="003853EA">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0C93C" w14:textId="77777777" w:rsidR="00A05F4E" w:rsidRPr="00A05F4E" w:rsidRDefault="00A746D5" w:rsidP="00A05F4E">
    <w:pPr>
      <w:pStyle w:val="Header1"/>
      <w:jc w:val="right"/>
      <w:rPr>
        <w:highlight w:val="yellow"/>
      </w:rPr>
    </w:pPr>
    <w:r>
      <w:rPr>
        <w:highlight w:val="yellow"/>
      </w:rPr>
      <w:t>[CMS D1: 17.7.2024]</w:t>
    </w:r>
  </w:p>
  <w:p w14:paraId="6C1AB5A2" w14:textId="0C84EBED" w:rsidR="00250B93" w:rsidRPr="0092348E" w:rsidRDefault="00A05F4E" w:rsidP="007F2A01">
    <w:pPr>
      <w:pStyle w:val="Header1"/>
      <w:jc w:val="right"/>
    </w:pPr>
    <w:r>
      <w:rPr>
        <w:highlight w:val="yellow"/>
      </w:rPr>
      <w:t xml:space="preserve">[Subject to review by </w:t>
    </w:r>
    <w:r w:rsidR="00DB0BC5">
      <w:rPr>
        <w:highlight w:val="yellow"/>
      </w:rPr>
      <w:t>SGSS</w:t>
    </w:r>
    <w:r>
      <w:rPr>
        <w:highlight w:val="yellow"/>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EA3C0" w14:textId="77777777" w:rsidR="00250B93" w:rsidRDefault="00250B93" w:rsidP="003853EA">
    <w:pPr>
      <w:pStyle w:val="Header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456F0" w14:textId="35AE69C1" w:rsidR="003503AE" w:rsidRDefault="003503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847CB" w14:textId="13B3D13A" w:rsidR="00A05F4E" w:rsidRDefault="00A05F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5900C" w14:textId="67B3257F" w:rsidR="003503AE" w:rsidRDefault="00350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22A5"/>
    <w:multiLevelType w:val="hybridMultilevel"/>
    <w:tmpl w:val="BE7E7DAE"/>
    <w:lvl w:ilvl="0" w:tplc="11400B5A">
      <w:start w:val="1"/>
      <w:numFmt w:val="lowerLetter"/>
      <w:lvlText w:val="(%1)"/>
      <w:lvlJc w:val="left"/>
      <w:pPr>
        <w:ind w:left="816" w:hanging="353"/>
      </w:pPr>
      <w:rPr>
        <w:rFonts w:ascii="Verdana" w:eastAsia="Verdana" w:hAnsi="Verdana" w:cs="Verdana" w:hint="default"/>
        <w:spacing w:val="-1"/>
        <w:w w:val="100"/>
        <w:sz w:val="18"/>
        <w:szCs w:val="18"/>
        <w:lang w:val="en-US" w:eastAsia="en-US" w:bidi="en-US"/>
      </w:rPr>
    </w:lvl>
    <w:lvl w:ilvl="1" w:tplc="E65E29FC">
      <w:numFmt w:val="bullet"/>
      <w:lvlText w:val="•"/>
      <w:lvlJc w:val="left"/>
      <w:pPr>
        <w:ind w:left="1778" w:hanging="353"/>
      </w:pPr>
      <w:rPr>
        <w:rFonts w:hint="default"/>
        <w:lang w:val="en-US" w:eastAsia="en-US" w:bidi="en-US"/>
      </w:rPr>
    </w:lvl>
    <w:lvl w:ilvl="2" w:tplc="32C872A8">
      <w:numFmt w:val="bullet"/>
      <w:lvlText w:val="•"/>
      <w:lvlJc w:val="left"/>
      <w:pPr>
        <w:ind w:left="2737" w:hanging="353"/>
      </w:pPr>
      <w:rPr>
        <w:rFonts w:hint="default"/>
        <w:lang w:val="en-US" w:eastAsia="en-US" w:bidi="en-US"/>
      </w:rPr>
    </w:lvl>
    <w:lvl w:ilvl="3" w:tplc="097C1FEE">
      <w:numFmt w:val="bullet"/>
      <w:lvlText w:val="•"/>
      <w:lvlJc w:val="left"/>
      <w:pPr>
        <w:ind w:left="3696" w:hanging="353"/>
      </w:pPr>
      <w:rPr>
        <w:rFonts w:hint="default"/>
        <w:lang w:val="en-US" w:eastAsia="en-US" w:bidi="en-US"/>
      </w:rPr>
    </w:lvl>
    <w:lvl w:ilvl="4" w:tplc="58CC2262">
      <w:numFmt w:val="bullet"/>
      <w:lvlText w:val="•"/>
      <w:lvlJc w:val="left"/>
      <w:pPr>
        <w:ind w:left="4655" w:hanging="353"/>
      </w:pPr>
      <w:rPr>
        <w:rFonts w:hint="default"/>
        <w:lang w:val="en-US" w:eastAsia="en-US" w:bidi="en-US"/>
      </w:rPr>
    </w:lvl>
    <w:lvl w:ilvl="5" w:tplc="8A4ACB40">
      <w:numFmt w:val="bullet"/>
      <w:lvlText w:val="•"/>
      <w:lvlJc w:val="left"/>
      <w:pPr>
        <w:ind w:left="5614" w:hanging="353"/>
      </w:pPr>
      <w:rPr>
        <w:rFonts w:hint="default"/>
        <w:lang w:val="en-US" w:eastAsia="en-US" w:bidi="en-US"/>
      </w:rPr>
    </w:lvl>
    <w:lvl w:ilvl="6" w:tplc="0F883356">
      <w:numFmt w:val="bullet"/>
      <w:lvlText w:val="•"/>
      <w:lvlJc w:val="left"/>
      <w:pPr>
        <w:ind w:left="6573" w:hanging="353"/>
      </w:pPr>
      <w:rPr>
        <w:rFonts w:hint="default"/>
        <w:lang w:val="en-US" w:eastAsia="en-US" w:bidi="en-US"/>
      </w:rPr>
    </w:lvl>
    <w:lvl w:ilvl="7" w:tplc="C73CE380">
      <w:numFmt w:val="bullet"/>
      <w:lvlText w:val="•"/>
      <w:lvlJc w:val="left"/>
      <w:pPr>
        <w:ind w:left="7532" w:hanging="353"/>
      </w:pPr>
      <w:rPr>
        <w:rFonts w:hint="default"/>
        <w:lang w:val="en-US" w:eastAsia="en-US" w:bidi="en-US"/>
      </w:rPr>
    </w:lvl>
    <w:lvl w:ilvl="8" w:tplc="2F9CCCC6">
      <w:numFmt w:val="bullet"/>
      <w:lvlText w:val="•"/>
      <w:lvlJc w:val="left"/>
      <w:pPr>
        <w:ind w:left="8491" w:hanging="353"/>
      </w:pPr>
      <w:rPr>
        <w:rFonts w:hint="default"/>
        <w:lang w:val="en-US" w:eastAsia="en-US" w:bidi="en-US"/>
      </w:rPr>
    </w:lvl>
  </w:abstractNum>
  <w:abstractNum w:abstractNumId="1" w15:restartNumberingAfterBreak="0">
    <w:nsid w:val="0CEF61DC"/>
    <w:multiLevelType w:val="hybridMultilevel"/>
    <w:tmpl w:val="EC8428DE"/>
    <w:lvl w:ilvl="0" w:tplc="0809001B">
      <w:start w:val="1"/>
      <w:numFmt w:val="lowerRoman"/>
      <w:lvlText w:val="%1."/>
      <w:lvlJc w:val="right"/>
      <w:pPr>
        <w:ind w:left="1548" w:hanging="360"/>
      </w:pPr>
      <w:rPr>
        <w:rFonts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 w15:restartNumberingAfterBreak="0">
    <w:nsid w:val="191209D4"/>
    <w:multiLevelType w:val="hybridMultilevel"/>
    <w:tmpl w:val="994A3528"/>
    <w:lvl w:ilvl="0" w:tplc="BF107CB6">
      <w:start w:val="1"/>
      <w:numFmt w:val="decimal"/>
      <w:lvlText w:val="%1."/>
      <w:lvlJc w:val="left"/>
      <w:pPr>
        <w:ind w:left="960" w:hanging="853"/>
      </w:pPr>
      <w:rPr>
        <w:rFonts w:ascii="Verdana" w:eastAsia="Verdana" w:hAnsi="Verdana" w:cs="Verdana" w:hint="default"/>
        <w:spacing w:val="-2"/>
        <w:w w:val="100"/>
        <w:sz w:val="18"/>
        <w:szCs w:val="18"/>
        <w:lang w:val="en-US" w:eastAsia="en-US" w:bidi="en-US"/>
      </w:rPr>
    </w:lvl>
    <w:lvl w:ilvl="1" w:tplc="CD7CB39E">
      <w:numFmt w:val="bullet"/>
      <w:lvlText w:val="•"/>
      <w:lvlJc w:val="left"/>
      <w:pPr>
        <w:ind w:left="1904" w:hanging="853"/>
      </w:pPr>
      <w:rPr>
        <w:rFonts w:hint="default"/>
        <w:lang w:val="en-US" w:eastAsia="en-US" w:bidi="en-US"/>
      </w:rPr>
    </w:lvl>
    <w:lvl w:ilvl="2" w:tplc="31E8F7BC">
      <w:numFmt w:val="bullet"/>
      <w:lvlText w:val="•"/>
      <w:lvlJc w:val="left"/>
      <w:pPr>
        <w:ind w:left="2849" w:hanging="853"/>
      </w:pPr>
      <w:rPr>
        <w:rFonts w:hint="default"/>
        <w:lang w:val="en-US" w:eastAsia="en-US" w:bidi="en-US"/>
      </w:rPr>
    </w:lvl>
    <w:lvl w:ilvl="3" w:tplc="77C2E502">
      <w:numFmt w:val="bullet"/>
      <w:lvlText w:val="•"/>
      <w:lvlJc w:val="left"/>
      <w:pPr>
        <w:ind w:left="3794" w:hanging="853"/>
      </w:pPr>
      <w:rPr>
        <w:rFonts w:hint="default"/>
        <w:lang w:val="en-US" w:eastAsia="en-US" w:bidi="en-US"/>
      </w:rPr>
    </w:lvl>
    <w:lvl w:ilvl="4" w:tplc="2B78F9A4">
      <w:numFmt w:val="bullet"/>
      <w:lvlText w:val="•"/>
      <w:lvlJc w:val="left"/>
      <w:pPr>
        <w:ind w:left="4739" w:hanging="853"/>
      </w:pPr>
      <w:rPr>
        <w:rFonts w:hint="default"/>
        <w:lang w:val="en-US" w:eastAsia="en-US" w:bidi="en-US"/>
      </w:rPr>
    </w:lvl>
    <w:lvl w:ilvl="5" w:tplc="D25A6450">
      <w:numFmt w:val="bullet"/>
      <w:lvlText w:val="•"/>
      <w:lvlJc w:val="left"/>
      <w:pPr>
        <w:ind w:left="5684" w:hanging="853"/>
      </w:pPr>
      <w:rPr>
        <w:rFonts w:hint="default"/>
        <w:lang w:val="en-US" w:eastAsia="en-US" w:bidi="en-US"/>
      </w:rPr>
    </w:lvl>
    <w:lvl w:ilvl="6" w:tplc="DF1853FE">
      <w:numFmt w:val="bullet"/>
      <w:lvlText w:val="•"/>
      <w:lvlJc w:val="left"/>
      <w:pPr>
        <w:ind w:left="6629" w:hanging="853"/>
      </w:pPr>
      <w:rPr>
        <w:rFonts w:hint="default"/>
        <w:lang w:val="en-US" w:eastAsia="en-US" w:bidi="en-US"/>
      </w:rPr>
    </w:lvl>
    <w:lvl w:ilvl="7" w:tplc="A58C73B4">
      <w:numFmt w:val="bullet"/>
      <w:lvlText w:val="•"/>
      <w:lvlJc w:val="left"/>
      <w:pPr>
        <w:ind w:left="7574" w:hanging="853"/>
      </w:pPr>
      <w:rPr>
        <w:rFonts w:hint="default"/>
        <w:lang w:val="en-US" w:eastAsia="en-US" w:bidi="en-US"/>
      </w:rPr>
    </w:lvl>
    <w:lvl w:ilvl="8" w:tplc="25E07860">
      <w:numFmt w:val="bullet"/>
      <w:lvlText w:val="•"/>
      <w:lvlJc w:val="left"/>
      <w:pPr>
        <w:ind w:left="8519" w:hanging="853"/>
      </w:pPr>
      <w:rPr>
        <w:rFonts w:hint="default"/>
        <w:lang w:val="en-US" w:eastAsia="en-US" w:bidi="en-US"/>
      </w:rPr>
    </w:lvl>
  </w:abstractNum>
  <w:abstractNum w:abstractNumId="3" w15:restartNumberingAfterBreak="0">
    <w:nsid w:val="19EC256E"/>
    <w:multiLevelType w:val="hybridMultilevel"/>
    <w:tmpl w:val="54A486CC"/>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4" w15:restartNumberingAfterBreak="0">
    <w:nsid w:val="1B8D32C5"/>
    <w:multiLevelType w:val="hybridMultilevel"/>
    <w:tmpl w:val="C8AAB1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E096445"/>
    <w:multiLevelType w:val="hybridMultilevel"/>
    <w:tmpl w:val="CFDA9922"/>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6" w15:restartNumberingAfterBreak="0">
    <w:nsid w:val="2377454D"/>
    <w:multiLevelType w:val="hybridMultilevel"/>
    <w:tmpl w:val="D9C8800E"/>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7" w15:restartNumberingAfterBreak="0">
    <w:nsid w:val="40263BC8"/>
    <w:multiLevelType w:val="hybridMultilevel"/>
    <w:tmpl w:val="479463D2"/>
    <w:lvl w:ilvl="0" w:tplc="C7489C20">
      <w:start w:val="1"/>
      <w:numFmt w:val="decimal"/>
      <w:pStyle w:val="ListParagraph"/>
      <w:lvlText w:val="%1."/>
      <w:lvlJc w:val="left"/>
      <w:pPr>
        <w:ind w:left="828" w:hanging="721"/>
      </w:pPr>
      <w:rPr>
        <w:rFonts w:ascii="Verdana" w:eastAsia="Verdana" w:hAnsi="Verdana" w:cs="Verdana"/>
        <w:b/>
        <w:bCs/>
        <w:spacing w:val="-2"/>
        <w:w w:val="100"/>
        <w:sz w:val="18"/>
        <w:szCs w:val="18"/>
        <w:lang w:val="en-US" w:eastAsia="en-US" w:bidi="en-US"/>
      </w:rPr>
    </w:lvl>
    <w:lvl w:ilvl="1" w:tplc="0742D23E">
      <w:start w:val="1"/>
      <w:numFmt w:val="lowerRoman"/>
      <w:lvlText w:val="(%2)"/>
      <w:lvlJc w:val="left"/>
      <w:pPr>
        <w:ind w:left="1536" w:hanging="360"/>
        <w:jc w:val="right"/>
      </w:pPr>
      <w:rPr>
        <w:rFonts w:ascii="Verdana" w:eastAsia="Verdana" w:hAnsi="Verdana" w:cs="Verdana" w:hint="default"/>
        <w:spacing w:val="-3"/>
        <w:w w:val="100"/>
        <w:sz w:val="18"/>
        <w:szCs w:val="18"/>
        <w:lang w:val="en-US" w:eastAsia="en-US" w:bidi="en-US"/>
      </w:rPr>
    </w:lvl>
    <w:lvl w:ilvl="2" w:tplc="19AC2CE0">
      <w:numFmt w:val="bullet"/>
      <w:lvlText w:val="•"/>
      <w:lvlJc w:val="left"/>
      <w:pPr>
        <w:ind w:left="2525" w:hanging="360"/>
      </w:pPr>
      <w:rPr>
        <w:rFonts w:hint="default"/>
        <w:lang w:val="en-US" w:eastAsia="en-US" w:bidi="en-US"/>
      </w:rPr>
    </w:lvl>
    <w:lvl w:ilvl="3" w:tplc="EA16D7E8">
      <w:numFmt w:val="bullet"/>
      <w:lvlText w:val="•"/>
      <w:lvlJc w:val="left"/>
      <w:pPr>
        <w:ind w:left="3510" w:hanging="360"/>
      </w:pPr>
      <w:rPr>
        <w:rFonts w:hint="default"/>
        <w:lang w:val="en-US" w:eastAsia="en-US" w:bidi="en-US"/>
      </w:rPr>
    </w:lvl>
    <w:lvl w:ilvl="4" w:tplc="9A5E95FE">
      <w:numFmt w:val="bullet"/>
      <w:lvlText w:val="•"/>
      <w:lvlJc w:val="left"/>
      <w:pPr>
        <w:ind w:left="4496" w:hanging="360"/>
      </w:pPr>
      <w:rPr>
        <w:rFonts w:hint="default"/>
        <w:lang w:val="en-US" w:eastAsia="en-US" w:bidi="en-US"/>
      </w:rPr>
    </w:lvl>
    <w:lvl w:ilvl="5" w:tplc="C70A3EAC">
      <w:numFmt w:val="bullet"/>
      <w:lvlText w:val="•"/>
      <w:lvlJc w:val="left"/>
      <w:pPr>
        <w:ind w:left="5481" w:hanging="360"/>
      </w:pPr>
      <w:rPr>
        <w:rFonts w:hint="default"/>
        <w:lang w:val="en-US" w:eastAsia="en-US" w:bidi="en-US"/>
      </w:rPr>
    </w:lvl>
    <w:lvl w:ilvl="6" w:tplc="D1BEE07E">
      <w:numFmt w:val="bullet"/>
      <w:lvlText w:val="•"/>
      <w:lvlJc w:val="left"/>
      <w:pPr>
        <w:ind w:left="6467" w:hanging="360"/>
      </w:pPr>
      <w:rPr>
        <w:rFonts w:hint="default"/>
        <w:lang w:val="en-US" w:eastAsia="en-US" w:bidi="en-US"/>
      </w:rPr>
    </w:lvl>
    <w:lvl w:ilvl="7" w:tplc="F7A03C16">
      <w:numFmt w:val="bullet"/>
      <w:lvlText w:val="•"/>
      <w:lvlJc w:val="left"/>
      <w:pPr>
        <w:ind w:left="7452" w:hanging="360"/>
      </w:pPr>
      <w:rPr>
        <w:rFonts w:hint="default"/>
        <w:lang w:val="en-US" w:eastAsia="en-US" w:bidi="en-US"/>
      </w:rPr>
    </w:lvl>
    <w:lvl w:ilvl="8" w:tplc="702821A6">
      <w:numFmt w:val="bullet"/>
      <w:lvlText w:val="•"/>
      <w:lvlJc w:val="left"/>
      <w:pPr>
        <w:ind w:left="8437" w:hanging="360"/>
      </w:pPr>
      <w:rPr>
        <w:rFonts w:hint="default"/>
        <w:lang w:val="en-US" w:eastAsia="en-US" w:bidi="en-US"/>
      </w:rPr>
    </w:lvl>
  </w:abstractNum>
  <w:abstractNum w:abstractNumId="8" w15:restartNumberingAfterBreak="0">
    <w:nsid w:val="55B25549"/>
    <w:multiLevelType w:val="hybridMultilevel"/>
    <w:tmpl w:val="4C8E6916"/>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9" w15:restartNumberingAfterBreak="0">
    <w:nsid w:val="63673291"/>
    <w:multiLevelType w:val="hybridMultilevel"/>
    <w:tmpl w:val="35F8EC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21478615">
    <w:abstractNumId w:val="0"/>
  </w:num>
  <w:num w:numId="2" w16cid:durableId="2096632178">
    <w:abstractNumId w:val="7"/>
  </w:num>
  <w:num w:numId="3" w16cid:durableId="1286352735">
    <w:abstractNumId w:val="2"/>
  </w:num>
  <w:num w:numId="4" w16cid:durableId="770509610">
    <w:abstractNumId w:val="8"/>
  </w:num>
  <w:num w:numId="5" w16cid:durableId="1669674181">
    <w:abstractNumId w:val="6"/>
  </w:num>
  <w:num w:numId="6" w16cid:durableId="1555123851">
    <w:abstractNumId w:val="5"/>
  </w:num>
  <w:num w:numId="7" w16cid:durableId="489563206">
    <w:abstractNumId w:val="1"/>
  </w:num>
  <w:num w:numId="8" w16cid:durableId="1958100301">
    <w:abstractNumId w:val="3"/>
  </w:num>
  <w:num w:numId="9" w16cid:durableId="742873586">
    <w:abstractNumId w:val="9"/>
  </w:num>
  <w:num w:numId="10" w16cid:durableId="1948582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85990442.5"/>
    <w:docVar w:name="CurrentReferenceFormat" w:val="[DocumentNumber].[DocumentVersion]"/>
    <w:docVar w:name="DocumentReferencePlacement" w:val="AllPages"/>
    <w:docVar w:name="imProfileCustom1Description" w:val="Nanjia Capital Limited"/>
    <w:docVar w:name="imProfileCustom2" w:val="23730134"/>
    <w:docVar w:name="imProfileCustom2Description" w:val="NANJIA ICAV - XSE - NEW CLASS A SHARES"/>
    <w:docVar w:name="imProfileDatabase" w:val="Current"/>
    <w:docVar w:name="imProfileDocNum" w:val="85990442"/>
    <w:docVar w:name="imProfileLastSavedTime" w:val="2-Feb-23 15:32"/>
    <w:docVar w:name="imProfileVersion" w:val="4"/>
  </w:docVars>
  <w:rsids>
    <w:rsidRoot w:val="00D15CE3"/>
    <w:rsid w:val="000062C5"/>
    <w:rsid w:val="00021632"/>
    <w:rsid w:val="00025493"/>
    <w:rsid w:val="0003590D"/>
    <w:rsid w:val="000421DF"/>
    <w:rsid w:val="00044294"/>
    <w:rsid w:val="00047BA6"/>
    <w:rsid w:val="000559BB"/>
    <w:rsid w:val="00061B5D"/>
    <w:rsid w:val="00067E78"/>
    <w:rsid w:val="0007187C"/>
    <w:rsid w:val="00077B3A"/>
    <w:rsid w:val="00080418"/>
    <w:rsid w:val="0008147F"/>
    <w:rsid w:val="00082D10"/>
    <w:rsid w:val="00094071"/>
    <w:rsid w:val="000949E6"/>
    <w:rsid w:val="00094B4E"/>
    <w:rsid w:val="000B7C71"/>
    <w:rsid w:val="000C15C3"/>
    <w:rsid w:val="000D4B73"/>
    <w:rsid w:val="000F0C32"/>
    <w:rsid w:val="0011697A"/>
    <w:rsid w:val="001340AA"/>
    <w:rsid w:val="001611DD"/>
    <w:rsid w:val="00174C63"/>
    <w:rsid w:val="001753B1"/>
    <w:rsid w:val="00192D3F"/>
    <w:rsid w:val="001B11FF"/>
    <w:rsid w:val="001B2685"/>
    <w:rsid w:val="001C5F40"/>
    <w:rsid w:val="001C7594"/>
    <w:rsid w:val="001E29D5"/>
    <w:rsid w:val="001F45F3"/>
    <w:rsid w:val="001F5155"/>
    <w:rsid w:val="001F76CD"/>
    <w:rsid w:val="001F7DDE"/>
    <w:rsid w:val="0021181C"/>
    <w:rsid w:val="002234CA"/>
    <w:rsid w:val="00223B5D"/>
    <w:rsid w:val="002248E4"/>
    <w:rsid w:val="002368BA"/>
    <w:rsid w:val="002375FA"/>
    <w:rsid w:val="00241F80"/>
    <w:rsid w:val="00245E6B"/>
    <w:rsid w:val="002466B0"/>
    <w:rsid w:val="002472E6"/>
    <w:rsid w:val="00247609"/>
    <w:rsid w:val="00250B93"/>
    <w:rsid w:val="00251109"/>
    <w:rsid w:val="002529A1"/>
    <w:rsid w:val="00255C35"/>
    <w:rsid w:val="00260FFC"/>
    <w:rsid w:val="00262A39"/>
    <w:rsid w:val="0026356C"/>
    <w:rsid w:val="00275B3F"/>
    <w:rsid w:val="002853CD"/>
    <w:rsid w:val="002A1494"/>
    <w:rsid w:val="002A4206"/>
    <w:rsid w:val="002A5171"/>
    <w:rsid w:val="002D54CC"/>
    <w:rsid w:val="002F4183"/>
    <w:rsid w:val="002F6464"/>
    <w:rsid w:val="002F7942"/>
    <w:rsid w:val="002F7C78"/>
    <w:rsid w:val="003032EE"/>
    <w:rsid w:val="00321033"/>
    <w:rsid w:val="00324121"/>
    <w:rsid w:val="003503AE"/>
    <w:rsid w:val="00351E15"/>
    <w:rsid w:val="00367235"/>
    <w:rsid w:val="003723D4"/>
    <w:rsid w:val="00374A80"/>
    <w:rsid w:val="00376D33"/>
    <w:rsid w:val="003804DB"/>
    <w:rsid w:val="00381844"/>
    <w:rsid w:val="003853EA"/>
    <w:rsid w:val="0039240C"/>
    <w:rsid w:val="00392E2C"/>
    <w:rsid w:val="00394D17"/>
    <w:rsid w:val="003A691A"/>
    <w:rsid w:val="003C0536"/>
    <w:rsid w:val="003C57FA"/>
    <w:rsid w:val="003C5B64"/>
    <w:rsid w:val="003D0D3A"/>
    <w:rsid w:val="003D2762"/>
    <w:rsid w:val="003D5709"/>
    <w:rsid w:val="003E5559"/>
    <w:rsid w:val="003E7E63"/>
    <w:rsid w:val="003F28D3"/>
    <w:rsid w:val="003F6B88"/>
    <w:rsid w:val="004146D0"/>
    <w:rsid w:val="004212CF"/>
    <w:rsid w:val="00421F28"/>
    <w:rsid w:val="00423778"/>
    <w:rsid w:val="00426DCE"/>
    <w:rsid w:val="004272D3"/>
    <w:rsid w:val="00431D2F"/>
    <w:rsid w:val="0043408F"/>
    <w:rsid w:val="0044516C"/>
    <w:rsid w:val="004477E5"/>
    <w:rsid w:val="00447CFA"/>
    <w:rsid w:val="004613D9"/>
    <w:rsid w:val="0047513B"/>
    <w:rsid w:val="00484CD6"/>
    <w:rsid w:val="00484EA9"/>
    <w:rsid w:val="004921F5"/>
    <w:rsid w:val="004B1E13"/>
    <w:rsid w:val="004B3BE2"/>
    <w:rsid w:val="004C18CC"/>
    <w:rsid w:val="004E00CC"/>
    <w:rsid w:val="004E2E5E"/>
    <w:rsid w:val="004F7DA8"/>
    <w:rsid w:val="005024F7"/>
    <w:rsid w:val="005120B2"/>
    <w:rsid w:val="00512863"/>
    <w:rsid w:val="005232DC"/>
    <w:rsid w:val="005237FA"/>
    <w:rsid w:val="005330E1"/>
    <w:rsid w:val="00544E77"/>
    <w:rsid w:val="00550BD2"/>
    <w:rsid w:val="005519B0"/>
    <w:rsid w:val="00554E90"/>
    <w:rsid w:val="00556065"/>
    <w:rsid w:val="00562746"/>
    <w:rsid w:val="00580706"/>
    <w:rsid w:val="00590486"/>
    <w:rsid w:val="005C020E"/>
    <w:rsid w:val="005C2DEE"/>
    <w:rsid w:val="005D0191"/>
    <w:rsid w:val="005E497D"/>
    <w:rsid w:val="005F1EFD"/>
    <w:rsid w:val="005F2963"/>
    <w:rsid w:val="00624A6A"/>
    <w:rsid w:val="0062637A"/>
    <w:rsid w:val="00632A99"/>
    <w:rsid w:val="00634934"/>
    <w:rsid w:val="00640F15"/>
    <w:rsid w:val="00640F2C"/>
    <w:rsid w:val="00641382"/>
    <w:rsid w:val="00642089"/>
    <w:rsid w:val="0065160C"/>
    <w:rsid w:val="006636F0"/>
    <w:rsid w:val="0066541C"/>
    <w:rsid w:val="006722E2"/>
    <w:rsid w:val="006A5129"/>
    <w:rsid w:val="006A70DA"/>
    <w:rsid w:val="006B41AD"/>
    <w:rsid w:val="006B4390"/>
    <w:rsid w:val="006C24F5"/>
    <w:rsid w:val="006C5232"/>
    <w:rsid w:val="006C5D1B"/>
    <w:rsid w:val="006C7C88"/>
    <w:rsid w:val="006D33FA"/>
    <w:rsid w:val="006D39E8"/>
    <w:rsid w:val="006D4712"/>
    <w:rsid w:val="006E2DEC"/>
    <w:rsid w:val="006E41A6"/>
    <w:rsid w:val="006F317B"/>
    <w:rsid w:val="006F57F7"/>
    <w:rsid w:val="00704409"/>
    <w:rsid w:val="007101AE"/>
    <w:rsid w:val="007143A5"/>
    <w:rsid w:val="0071663C"/>
    <w:rsid w:val="00717566"/>
    <w:rsid w:val="007262C8"/>
    <w:rsid w:val="00731864"/>
    <w:rsid w:val="007354F6"/>
    <w:rsid w:val="007359E9"/>
    <w:rsid w:val="0074751A"/>
    <w:rsid w:val="007664C4"/>
    <w:rsid w:val="007703FA"/>
    <w:rsid w:val="00770F75"/>
    <w:rsid w:val="00773B5C"/>
    <w:rsid w:val="00781599"/>
    <w:rsid w:val="00782F9D"/>
    <w:rsid w:val="00783110"/>
    <w:rsid w:val="00783ED4"/>
    <w:rsid w:val="00791D85"/>
    <w:rsid w:val="00792C32"/>
    <w:rsid w:val="0079430E"/>
    <w:rsid w:val="007B14B3"/>
    <w:rsid w:val="007C41D1"/>
    <w:rsid w:val="007D71C9"/>
    <w:rsid w:val="007F2A01"/>
    <w:rsid w:val="007F5638"/>
    <w:rsid w:val="007F6FF0"/>
    <w:rsid w:val="00804DE9"/>
    <w:rsid w:val="00811288"/>
    <w:rsid w:val="00813D40"/>
    <w:rsid w:val="00814F6C"/>
    <w:rsid w:val="00816A91"/>
    <w:rsid w:val="0082100C"/>
    <w:rsid w:val="008214E3"/>
    <w:rsid w:val="008249DD"/>
    <w:rsid w:val="00832EFD"/>
    <w:rsid w:val="00836013"/>
    <w:rsid w:val="00843091"/>
    <w:rsid w:val="00862295"/>
    <w:rsid w:val="00862DF9"/>
    <w:rsid w:val="008672C0"/>
    <w:rsid w:val="00880599"/>
    <w:rsid w:val="00884781"/>
    <w:rsid w:val="00886216"/>
    <w:rsid w:val="00886E47"/>
    <w:rsid w:val="008A2225"/>
    <w:rsid w:val="008A27CC"/>
    <w:rsid w:val="008B0E77"/>
    <w:rsid w:val="008B3F86"/>
    <w:rsid w:val="008B7826"/>
    <w:rsid w:val="008C733E"/>
    <w:rsid w:val="008F264E"/>
    <w:rsid w:val="008F6310"/>
    <w:rsid w:val="00902136"/>
    <w:rsid w:val="0091057E"/>
    <w:rsid w:val="0092348E"/>
    <w:rsid w:val="00924E5C"/>
    <w:rsid w:val="00930726"/>
    <w:rsid w:val="009346E3"/>
    <w:rsid w:val="0094459C"/>
    <w:rsid w:val="00957CDE"/>
    <w:rsid w:val="00966EE1"/>
    <w:rsid w:val="00983F5E"/>
    <w:rsid w:val="00996AF6"/>
    <w:rsid w:val="009A51CA"/>
    <w:rsid w:val="009C2F5A"/>
    <w:rsid w:val="009C6C88"/>
    <w:rsid w:val="009D219B"/>
    <w:rsid w:val="009E4B0F"/>
    <w:rsid w:val="009E591B"/>
    <w:rsid w:val="009E70ED"/>
    <w:rsid w:val="009F138B"/>
    <w:rsid w:val="009F1C9F"/>
    <w:rsid w:val="00A00754"/>
    <w:rsid w:val="00A05F4E"/>
    <w:rsid w:val="00A17AEC"/>
    <w:rsid w:val="00A22F43"/>
    <w:rsid w:val="00A30246"/>
    <w:rsid w:val="00A33FC9"/>
    <w:rsid w:val="00A346D8"/>
    <w:rsid w:val="00A47ACA"/>
    <w:rsid w:val="00A5011A"/>
    <w:rsid w:val="00A51EB6"/>
    <w:rsid w:val="00A5446B"/>
    <w:rsid w:val="00A706F6"/>
    <w:rsid w:val="00A746D5"/>
    <w:rsid w:val="00A93F0C"/>
    <w:rsid w:val="00AA084B"/>
    <w:rsid w:val="00AA0DCE"/>
    <w:rsid w:val="00AA1487"/>
    <w:rsid w:val="00AA2B6C"/>
    <w:rsid w:val="00AB0260"/>
    <w:rsid w:val="00AB04BE"/>
    <w:rsid w:val="00AB0C4F"/>
    <w:rsid w:val="00AB2331"/>
    <w:rsid w:val="00AC05E1"/>
    <w:rsid w:val="00AC4855"/>
    <w:rsid w:val="00AC738A"/>
    <w:rsid w:val="00AD2E64"/>
    <w:rsid w:val="00AD3E7C"/>
    <w:rsid w:val="00AD5320"/>
    <w:rsid w:val="00AD78EC"/>
    <w:rsid w:val="00AE3780"/>
    <w:rsid w:val="00AF1C27"/>
    <w:rsid w:val="00AF527D"/>
    <w:rsid w:val="00AF782D"/>
    <w:rsid w:val="00AF7A80"/>
    <w:rsid w:val="00B03B3A"/>
    <w:rsid w:val="00B06B79"/>
    <w:rsid w:val="00B11C59"/>
    <w:rsid w:val="00B17E41"/>
    <w:rsid w:val="00B31D78"/>
    <w:rsid w:val="00B32A04"/>
    <w:rsid w:val="00B45109"/>
    <w:rsid w:val="00B472B1"/>
    <w:rsid w:val="00B51888"/>
    <w:rsid w:val="00B5528C"/>
    <w:rsid w:val="00B577F0"/>
    <w:rsid w:val="00B57B9A"/>
    <w:rsid w:val="00B65DB3"/>
    <w:rsid w:val="00B70725"/>
    <w:rsid w:val="00B7259D"/>
    <w:rsid w:val="00B774B1"/>
    <w:rsid w:val="00B93DCD"/>
    <w:rsid w:val="00BA5C8A"/>
    <w:rsid w:val="00BB0B53"/>
    <w:rsid w:val="00BC3CC0"/>
    <w:rsid w:val="00BD5174"/>
    <w:rsid w:val="00BD7FD4"/>
    <w:rsid w:val="00BE3A61"/>
    <w:rsid w:val="00BE5ED5"/>
    <w:rsid w:val="00BF700D"/>
    <w:rsid w:val="00C0552C"/>
    <w:rsid w:val="00C0620E"/>
    <w:rsid w:val="00C063B8"/>
    <w:rsid w:val="00C216EB"/>
    <w:rsid w:val="00C36CE0"/>
    <w:rsid w:val="00C438B0"/>
    <w:rsid w:val="00C50CF9"/>
    <w:rsid w:val="00C52EA8"/>
    <w:rsid w:val="00C53B73"/>
    <w:rsid w:val="00C5776F"/>
    <w:rsid w:val="00C67AFF"/>
    <w:rsid w:val="00C71D81"/>
    <w:rsid w:val="00C71E38"/>
    <w:rsid w:val="00C75002"/>
    <w:rsid w:val="00C84651"/>
    <w:rsid w:val="00C874CF"/>
    <w:rsid w:val="00C87E1F"/>
    <w:rsid w:val="00C93FA9"/>
    <w:rsid w:val="00C9488C"/>
    <w:rsid w:val="00C95417"/>
    <w:rsid w:val="00CB700C"/>
    <w:rsid w:val="00CC0BDC"/>
    <w:rsid w:val="00CC2225"/>
    <w:rsid w:val="00CC5D47"/>
    <w:rsid w:val="00CC6ED3"/>
    <w:rsid w:val="00CD1843"/>
    <w:rsid w:val="00CD40EB"/>
    <w:rsid w:val="00CE540F"/>
    <w:rsid w:val="00CE73E7"/>
    <w:rsid w:val="00CF6D26"/>
    <w:rsid w:val="00D02B04"/>
    <w:rsid w:val="00D06D84"/>
    <w:rsid w:val="00D06FF0"/>
    <w:rsid w:val="00D12656"/>
    <w:rsid w:val="00D15CE3"/>
    <w:rsid w:val="00D214AB"/>
    <w:rsid w:val="00D2425F"/>
    <w:rsid w:val="00D258E4"/>
    <w:rsid w:val="00D50A54"/>
    <w:rsid w:val="00D51010"/>
    <w:rsid w:val="00D56807"/>
    <w:rsid w:val="00DB0BC5"/>
    <w:rsid w:val="00DB356B"/>
    <w:rsid w:val="00DB5806"/>
    <w:rsid w:val="00DC030C"/>
    <w:rsid w:val="00DC0912"/>
    <w:rsid w:val="00DE13C4"/>
    <w:rsid w:val="00DE430F"/>
    <w:rsid w:val="00DF2F87"/>
    <w:rsid w:val="00DF301B"/>
    <w:rsid w:val="00DF5FD8"/>
    <w:rsid w:val="00E004A8"/>
    <w:rsid w:val="00E07DCC"/>
    <w:rsid w:val="00E12182"/>
    <w:rsid w:val="00E203FC"/>
    <w:rsid w:val="00E224E2"/>
    <w:rsid w:val="00E3399D"/>
    <w:rsid w:val="00E342A5"/>
    <w:rsid w:val="00E37223"/>
    <w:rsid w:val="00E4649E"/>
    <w:rsid w:val="00E75486"/>
    <w:rsid w:val="00E971F0"/>
    <w:rsid w:val="00EA285B"/>
    <w:rsid w:val="00EA6722"/>
    <w:rsid w:val="00EC1F41"/>
    <w:rsid w:val="00EC2166"/>
    <w:rsid w:val="00EC270B"/>
    <w:rsid w:val="00EC30FB"/>
    <w:rsid w:val="00EC6805"/>
    <w:rsid w:val="00ED7864"/>
    <w:rsid w:val="00F100BC"/>
    <w:rsid w:val="00F160E0"/>
    <w:rsid w:val="00F246DA"/>
    <w:rsid w:val="00F25020"/>
    <w:rsid w:val="00F301A0"/>
    <w:rsid w:val="00F31D43"/>
    <w:rsid w:val="00F357B2"/>
    <w:rsid w:val="00F35DD3"/>
    <w:rsid w:val="00F37A80"/>
    <w:rsid w:val="00F465A2"/>
    <w:rsid w:val="00F523CC"/>
    <w:rsid w:val="00F55B53"/>
    <w:rsid w:val="00F633A5"/>
    <w:rsid w:val="00F637DB"/>
    <w:rsid w:val="00F64A72"/>
    <w:rsid w:val="00F659CA"/>
    <w:rsid w:val="00F67F70"/>
    <w:rsid w:val="00F70089"/>
    <w:rsid w:val="00F73AB8"/>
    <w:rsid w:val="00F945CC"/>
    <w:rsid w:val="00FA2C6A"/>
    <w:rsid w:val="00FA2F23"/>
    <w:rsid w:val="00FC7511"/>
    <w:rsid w:val="00FD120D"/>
    <w:rsid w:val="00FD5DA2"/>
    <w:rsid w:val="00FE4460"/>
    <w:rsid w:val="00FF1943"/>
    <w:rsid w:val="00FF54EA"/>
    <w:rsid w:val="00FF5898"/>
    <w:rsid w:val="00FF595D"/>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74F30"/>
  <w15:chartTrackingRefBased/>
  <w15:docId w15:val="{3BE8BC36-3B5A-A446-A811-E514501B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399D"/>
    <w:pPr>
      <w:widowControl w:val="0"/>
      <w:autoSpaceDE w:val="0"/>
      <w:autoSpaceDN w:val="0"/>
      <w:jc w:val="both"/>
    </w:pPr>
    <w:rPr>
      <w:rFonts w:ascii="Verdana" w:eastAsia="Verdana" w:hAnsi="Verdana" w:cs="Verdana"/>
      <w:sz w:val="18"/>
      <w:szCs w:val="22"/>
      <w:lang w:val="en-US" w:bidi="en-US"/>
    </w:rPr>
  </w:style>
  <w:style w:type="paragraph" w:styleId="Heading1">
    <w:name w:val="heading 1"/>
    <w:basedOn w:val="Normal"/>
    <w:link w:val="Heading1Char"/>
    <w:uiPriority w:val="1"/>
    <w:qFormat/>
    <w:rsid w:val="00D15CE3"/>
    <w:pPr>
      <w:ind w:left="828"/>
      <w:outlineLvl w:val="0"/>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5CE3"/>
    <w:rPr>
      <w:rFonts w:ascii="Verdana" w:eastAsia="Verdana" w:hAnsi="Verdana" w:cs="Verdana"/>
      <w:b/>
      <w:bCs/>
      <w:sz w:val="18"/>
      <w:szCs w:val="18"/>
      <w:lang w:val="en-US" w:bidi="en-US"/>
    </w:rPr>
  </w:style>
  <w:style w:type="paragraph" w:styleId="TOC1">
    <w:name w:val="toc 1"/>
    <w:basedOn w:val="Normal"/>
    <w:uiPriority w:val="39"/>
    <w:qFormat/>
    <w:rsid w:val="00324121"/>
    <w:pPr>
      <w:tabs>
        <w:tab w:val="right" w:leader="dot" w:pos="9632"/>
      </w:tabs>
      <w:spacing w:before="60"/>
      <w:ind w:left="960" w:hanging="960"/>
    </w:pPr>
    <w:rPr>
      <w:noProof/>
      <w:szCs w:val="18"/>
    </w:rPr>
  </w:style>
  <w:style w:type="paragraph" w:styleId="BodyText">
    <w:name w:val="Body Text"/>
    <w:basedOn w:val="Normal"/>
    <w:link w:val="BodyTextChar"/>
    <w:uiPriority w:val="1"/>
    <w:qFormat/>
    <w:rsid w:val="00770F75"/>
    <w:pPr>
      <w:widowControl/>
      <w:ind w:left="567"/>
    </w:pPr>
    <w:rPr>
      <w:szCs w:val="18"/>
    </w:rPr>
  </w:style>
  <w:style w:type="character" w:customStyle="1" w:styleId="BodyTextChar">
    <w:name w:val="Body Text Char"/>
    <w:basedOn w:val="DefaultParagraphFont"/>
    <w:link w:val="BodyText"/>
    <w:uiPriority w:val="1"/>
    <w:rsid w:val="00770F75"/>
    <w:rPr>
      <w:rFonts w:ascii="Verdana" w:eastAsia="Verdana" w:hAnsi="Verdana" w:cs="Verdana"/>
      <w:sz w:val="18"/>
      <w:szCs w:val="18"/>
      <w:lang w:val="en-US" w:bidi="en-US"/>
    </w:rPr>
  </w:style>
  <w:style w:type="paragraph" w:styleId="ListParagraph">
    <w:name w:val="List Paragraph"/>
    <w:basedOn w:val="Normal"/>
    <w:uiPriority w:val="34"/>
    <w:qFormat/>
    <w:rsid w:val="00770F75"/>
    <w:pPr>
      <w:keepNext/>
      <w:widowControl/>
      <w:numPr>
        <w:numId w:val="2"/>
      </w:numPr>
      <w:spacing w:after="240"/>
      <w:ind w:left="567" w:hanging="567"/>
    </w:pPr>
    <w:rPr>
      <w:b/>
    </w:rPr>
  </w:style>
  <w:style w:type="paragraph" w:customStyle="1" w:styleId="TableParagraph">
    <w:name w:val="Table Paragraph"/>
    <w:basedOn w:val="Normal"/>
    <w:uiPriority w:val="1"/>
    <w:qFormat/>
    <w:rsid w:val="00D15CE3"/>
    <w:pPr>
      <w:ind w:left="107"/>
    </w:pPr>
  </w:style>
  <w:style w:type="paragraph" w:styleId="BalloonText">
    <w:name w:val="Balloon Text"/>
    <w:basedOn w:val="Normal"/>
    <w:link w:val="BalloonTextChar"/>
    <w:uiPriority w:val="99"/>
    <w:semiHidden/>
    <w:unhideWhenUsed/>
    <w:rsid w:val="00D15CE3"/>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D15CE3"/>
    <w:rPr>
      <w:rFonts w:ascii="Times New Roman" w:eastAsia="Verdana" w:hAnsi="Times New Roman" w:cs="Times New Roman"/>
      <w:sz w:val="18"/>
      <w:szCs w:val="18"/>
      <w:lang w:val="en-US" w:bidi="en-US"/>
    </w:rPr>
  </w:style>
  <w:style w:type="paragraph" w:styleId="BodyText2">
    <w:name w:val="Body Text 2"/>
    <w:basedOn w:val="Normal"/>
    <w:link w:val="BodyText2Char"/>
    <w:uiPriority w:val="99"/>
    <w:semiHidden/>
    <w:unhideWhenUsed/>
    <w:rsid w:val="00D15CE3"/>
    <w:pPr>
      <w:spacing w:after="120" w:line="480" w:lineRule="auto"/>
    </w:pPr>
  </w:style>
  <w:style w:type="character" w:customStyle="1" w:styleId="BodyText2Char">
    <w:name w:val="Body Text 2 Char"/>
    <w:basedOn w:val="DefaultParagraphFont"/>
    <w:link w:val="BodyText2"/>
    <w:uiPriority w:val="99"/>
    <w:semiHidden/>
    <w:rsid w:val="00D15CE3"/>
    <w:rPr>
      <w:rFonts w:ascii="Verdana" w:eastAsia="Verdana" w:hAnsi="Verdana" w:cs="Verdana"/>
      <w:sz w:val="22"/>
      <w:szCs w:val="22"/>
      <w:lang w:val="en-US" w:bidi="en-US"/>
    </w:rPr>
  </w:style>
  <w:style w:type="table" w:styleId="TableGrid">
    <w:name w:val="Table Grid"/>
    <w:basedOn w:val="TableNormal"/>
    <w:uiPriority w:val="39"/>
    <w:rsid w:val="00D15CE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CE3"/>
    <w:pPr>
      <w:tabs>
        <w:tab w:val="center" w:pos="4680"/>
        <w:tab w:val="right" w:pos="9360"/>
      </w:tabs>
    </w:pPr>
  </w:style>
  <w:style w:type="character" w:customStyle="1" w:styleId="HeaderChar">
    <w:name w:val="Header Char"/>
    <w:basedOn w:val="DefaultParagraphFont"/>
    <w:link w:val="Header"/>
    <w:uiPriority w:val="99"/>
    <w:rsid w:val="00D15CE3"/>
    <w:rPr>
      <w:rFonts w:ascii="Verdana" w:eastAsia="Verdana" w:hAnsi="Verdana" w:cs="Verdana"/>
      <w:sz w:val="22"/>
      <w:szCs w:val="22"/>
      <w:lang w:val="en-US" w:bidi="en-US"/>
    </w:rPr>
  </w:style>
  <w:style w:type="paragraph" w:styleId="Footer">
    <w:name w:val="footer"/>
    <w:basedOn w:val="Normal"/>
    <w:link w:val="FooterChar"/>
    <w:uiPriority w:val="99"/>
    <w:unhideWhenUsed/>
    <w:rsid w:val="00D15CE3"/>
    <w:pPr>
      <w:tabs>
        <w:tab w:val="center" w:pos="4680"/>
        <w:tab w:val="right" w:pos="9360"/>
      </w:tabs>
    </w:pPr>
  </w:style>
  <w:style w:type="character" w:customStyle="1" w:styleId="FooterChar">
    <w:name w:val="Footer Char"/>
    <w:basedOn w:val="DefaultParagraphFont"/>
    <w:link w:val="Footer"/>
    <w:uiPriority w:val="99"/>
    <w:rsid w:val="00D15CE3"/>
    <w:rPr>
      <w:rFonts w:ascii="Verdana" w:eastAsia="Verdana" w:hAnsi="Verdana" w:cs="Verdana"/>
      <w:sz w:val="22"/>
      <w:szCs w:val="22"/>
      <w:lang w:val="en-US" w:bidi="en-US"/>
    </w:rPr>
  </w:style>
  <w:style w:type="character" w:customStyle="1" w:styleId="apple-converted-space">
    <w:name w:val="apple-converted-space"/>
    <w:basedOn w:val="DefaultParagraphFont"/>
    <w:rsid w:val="00381844"/>
  </w:style>
  <w:style w:type="paragraph" w:customStyle="1" w:styleId="FooterReference">
    <w:name w:val="Footer Reference"/>
    <w:basedOn w:val="Footer"/>
    <w:link w:val="FooterReferenceChar"/>
    <w:semiHidden/>
    <w:rsid w:val="00392E2C"/>
    <w:pPr>
      <w:spacing w:before="11"/>
      <w:jc w:val="left"/>
    </w:pPr>
    <w:rPr>
      <w:rFonts w:ascii="Times New Roman" w:hAnsi="Times New Roman" w:cs="Times New Roman"/>
      <w:sz w:val="16"/>
    </w:rPr>
  </w:style>
  <w:style w:type="character" w:customStyle="1" w:styleId="FooterReferenceChar">
    <w:name w:val="Footer Reference Char"/>
    <w:basedOn w:val="BodyTextChar"/>
    <w:link w:val="FooterReference"/>
    <w:semiHidden/>
    <w:rsid w:val="00392E2C"/>
    <w:rPr>
      <w:rFonts w:ascii="Times New Roman" w:eastAsia="Verdana" w:hAnsi="Times New Roman" w:cs="Times New Roman"/>
      <w:sz w:val="16"/>
      <w:szCs w:val="22"/>
      <w:lang w:val="en-US" w:bidi="en-US"/>
    </w:rPr>
  </w:style>
  <w:style w:type="character" w:styleId="Hyperlink">
    <w:name w:val="Hyperlink"/>
    <w:basedOn w:val="DefaultParagraphFont"/>
    <w:uiPriority w:val="99"/>
    <w:unhideWhenUsed/>
    <w:rsid w:val="009F138B"/>
    <w:rPr>
      <w:color w:val="0563C1" w:themeColor="hyperlink"/>
      <w:u w:val="single"/>
    </w:rPr>
  </w:style>
  <w:style w:type="paragraph" w:styleId="Revision">
    <w:name w:val="Revision"/>
    <w:hidden/>
    <w:uiPriority w:val="99"/>
    <w:semiHidden/>
    <w:rsid w:val="008214E3"/>
    <w:rPr>
      <w:rFonts w:ascii="Verdana" w:eastAsia="Verdana" w:hAnsi="Verdana" w:cs="Verdana"/>
      <w:sz w:val="18"/>
      <w:szCs w:val="22"/>
      <w:lang w:val="en-US" w:bidi="en-US"/>
    </w:rPr>
  </w:style>
  <w:style w:type="paragraph" w:customStyle="1" w:styleId="BodyText1">
    <w:name w:val="BodyText_1"/>
    <w:uiPriority w:val="1"/>
    <w:qFormat/>
    <w:rsid w:val="00250B93"/>
    <w:pPr>
      <w:autoSpaceDE w:val="0"/>
      <w:autoSpaceDN w:val="0"/>
      <w:ind w:left="567"/>
      <w:jc w:val="both"/>
    </w:pPr>
    <w:rPr>
      <w:rFonts w:ascii="Verdana" w:eastAsia="Verdana" w:hAnsi="Verdana" w:cs="Verdana"/>
      <w:sz w:val="18"/>
      <w:szCs w:val="18"/>
      <w:lang w:val="en-US" w:bidi="en-US"/>
    </w:rPr>
  </w:style>
  <w:style w:type="paragraph" w:customStyle="1" w:styleId="FooterReference1">
    <w:name w:val="FooterReference_1"/>
    <w:semiHidden/>
    <w:rsid w:val="00250B93"/>
    <w:pPr>
      <w:widowControl w:val="0"/>
      <w:tabs>
        <w:tab w:val="center" w:pos="4680"/>
        <w:tab w:val="right" w:pos="9360"/>
      </w:tabs>
      <w:autoSpaceDE w:val="0"/>
      <w:autoSpaceDN w:val="0"/>
      <w:spacing w:before="11"/>
    </w:pPr>
    <w:rPr>
      <w:rFonts w:ascii="Times New Roman" w:eastAsia="Verdana" w:hAnsi="Times New Roman" w:cs="Times New Roman"/>
      <w:sz w:val="16"/>
      <w:szCs w:val="22"/>
      <w:lang w:val="en-US" w:bidi="en-US"/>
    </w:rPr>
  </w:style>
  <w:style w:type="paragraph" w:customStyle="1" w:styleId="Header1">
    <w:name w:val="Header_1"/>
    <w:uiPriority w:val="99"/>
    <w:unhideWhenUsed/>
    <w:rsid w:val="00250B93"/>
    <w:pPr>
      <w:widowControl w:val="0"/>
      <w:tabs>
        <w:tab w:val="center" w:pos="4680"/>
        <w:tab w:val="right" w:pos="9360"/>
      </w:tabs>
      <w:autoSpaceDE w:val="0"/>
      <w:autoSpaceDN w:val="0"/>
      <w:jc w:val="both"/>
    </w:pPr>
    <w:rPr>
      <w:rFonts w:ascii="Verdana" w:eastAsia="Verdana" w:hAnsi="Verdana" w:cs="Verdana"/>
      <w:sz w:val="18"/>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698004">
      <w:bodyDiv w:val="1"/>
      <w:marLeft w:val="0"/>
      <w:marRight w:val="0"/>
      <w:marTop w:val="0"/>
      <w:marBottom w:val="0"/>
      <w:divBdr>
        <w:top w:val="none" w:sz="0" w:space="0" w:color="auto"/>
        <w:left w:val="none" w:sz="0" w:space="0" w:color="auto"/>
        <w:bottom w:val="none" w:sz="0" w:space="0" w:color="auto"/>
        <w:right w:val="none" w:sz="0" w:space="0" w:color="auto"/>
      </w:divBdr>
    </w:div>
    <w:div w:id="851065580">
      <w:bodyDiv w:val="1"/>
      <w:marLeft w:val="0"/>
      <w:marRight w:val="0"/>
      <w:marTop w:val="0"/>
      <w:marBottom w:val="0"/>
      <w:divBdr>
        <w:top w:val="none" w:sz="0" w:space="0" w:color="auto"/>
        <w:left w:val="none" w:sz="0" w:space="0" w:color="auto"/>
        <w:bottom w:val="none" w:sz="0" w:space="0" w:color="auto"/>
        <w:right w:val="none" w:sz="0" w:space="0" w:color="auto"/>
      </w:divBdr>
    </w:div>
    <w:div w:id="134139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BB0D-B109-47C5-BC97-CAC7C881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HKG_LIB1\1585278\8</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HKG_LIB1\1585278\8</dc:title>
  <dc:subject/>
  <dc:creator>ShacklG</dc:creator>
  <cp:keywords/>
  <dc:description/>
  <cp:lastModifiedBy>Gigi Ma</cp:lastModifiedBy>
  <cp:revision>4</cp:revision>
  <cp:lastPrinted>2022-12-05T01:59:00Z</cp:lastPrinted>
  <dcterms:created xsi:type="dcterms:W3CDTF">2024-11-13T13:42:00Z</dcterms:created>
  <dcterms:modified xsi:type="dcterms:W3CDTF">2024-11-13T13:42:00Z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DocType">
    <vt:lpwstr>DOC</vt:lpwstr>
  </property>
  <property fmtid="{D5CDD505-2E9C-101B-9397-08002B2CF9AE}" pid="4" name="ClientID">
    <vt:lpwstr>NEW</vt:lpwstr>
  </property>
  <property fmtid="{D5CDD505-2E9C-101B-9397-08002B2CF9AE}" pid="5" name="MatterID">
    <vt:lpwstr>NEW</vt:lpwstr>
  </property>
  <property fmtid="{D5CDD505-2E9C-101B-9397-08002B2CF9AE}" pid="6" name="iManageFooter">
    <vt:lpwstr>#630578429v4&lt;HONGKONG&gt; - Supplement - Nanjia - XSE (dated 13 November 2024)</vt:lpwstr>
  </property>
</Properties>
</file>