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CFAE1" w14:textId="12226E3F" w:rsidR="002C2409" w:rsidRPr="009C679F" w:rsidRDefault="00790126" w:rsidP="00D06B6E">
      <w:pPr>
        <w:widowControl/>
        <w:jc w:val="center"/>
        <w:rPr>
          <w:b/>
          <w:lang w:val="en-GB"/>
        </w:rPr>
      </w:pPr>
      <w:r w:rsidRPr="009C679F">
        <w:rPr>
          <w:b/>
          <w:lang w:val="en-GB"/>
        </w:rPr>
        <w:t xml:space="preserve">Civetta Nanjia Fund </w:t>
      </w:r>
      <w:r w:rsidRPr="009C679F">
        <w:rPr>
          <w:b/>
          <w:bCs/>
          <w:lang w:val="en-GB"/>
        </w:rPr>
        <w:t>(the</w:t>
      </w:r>
      <w:r w:rsidRPr="009C679F">
        <w:rPr>
          <w:b/>
          <w:lang w:val="en-GB"/>
        </w:rPr>
        <w:t xml:space="preserve"> </w:t>
      </w:r>
      <w:r w:rsidR="002C2409" w:rsidRPr="009C679F">
        <w:rPr>
          <w:b/>
          <w:lang w:val="en-GB"/>
        </w:rPr>
        <w:t>“</w:t>
      </w:r>
      <w:r w:rsidRPr="009C679F">
        <w:rPr>
          <w:b/>
          <w:lang w:val="en-GB"/>
        </w:rPr>
        <w:t>Fund</w:t>
      </w:r>
      <w:r w:rsidR="002C2409" w:rsidRPr="009C679F">
        <w:rPr>
          <w:b/>
          <w:lang w:val="en-GB"/>
        </w:rPr>
        <w:t>”</w:t>
      </w:r>
      <w:r w:rsidRPr="009C679F">
        <w:rPr>
          <w:b/>
          <w:lang w:val="en-GB"/>
        </w:rPr>
        <w:t>)</w:t>
      </w:r>
    </w:p>
    <w:p w14:paraId="6F68A82A" w14:textId="77777777" w:rsidR="002C2409" w:rsidRPr="009C679F" w:rsidRDefault="002C2409" w:rsidP="00D06B6E">
      <w:pPr>
        <w:widowControl/>
        <w:jc w:val="center"/>
        <w:rPr>
          <w:b/>
          <w:lang w:val="en-GB"/>
        </w:rPr>
      </w:pPr>
    </w:p>
    <w:p w14:paraId="0A5B7029" w14:textId="3A916DC5" w:rsidR="00323919" w:rsidRPr="009C679F" w:rsidRDefault="00790126" w:rsidP="00D06B6E">
      <w:pPr>
        <w:widowControl/>
        <w:jc w:val="center"/>
        <w:rPr>
          <w:b/>
          <w:lang w:val="en-GB"/>
        </w:rPr>
      </w:pPr>
      <w:r w:rsidRPr="009C679F">
        <w:rPr>
          <w:b/>
          <w:lang w:val="en-GB"/>
        </w:rPr>
        <w:t>a sub-fund of</w:t>
      </w:r>
    </w:p>
    <w:p w14:paraId="431D2D23" w14:textId="77777777" w:rsidR="002C2409" w:rsidRPr="009C679F" w:rsidRDefault="002C2409" w:rsidP="00D06B6E">
      <w:pPr>
        <w:widowControl/>
        <w:jc w:val="center"/>
        <w:rPr>
          <w:b/>
          <w:lang w:val="en-GB"/>
        </w:rPr>
      </w:pPr>
    </w:p>
    <w:p w14:paraId="70EA81C6" w14:textId="77777777" w:rsidR="00323919" w:rsidRPr="009C679F" w:rsidRDefault="00790126" w:rsidP="00D06B6E">
      <w:pPr>
        <w:widowControl/>
        <w:jc w:val="center"/>
        <w:rPr>
          <w:b/>
          <w:lang w:val="en-GB"/>
        </w:rPr>
      </w:pPr>
      <w:r w:rsidRPr="009C679F">
        <w:rPr>
          <w:b/>
          <w:lang w:val="en-GB"/>
        </w:rPr>
        <w:t>NANJIA CAPITAL ICAV</w:t>
      </w:r>
    </w:p>
    <w:p w14:paraId="6F818190" w14:textId="77777777" w:rsidR="00323919" w:rsidRPr="009C679F" w:rsidRDefault="00323919" w:rsidP="005A4FCE">
      <w:pPr>
        <w:pStyle w:val="BodyText"/>
        <w:widowControl/>
        <w:ind w:left="0"/>
        <w:jc w:val="center"/>
        <w:rPr>
          <w:lang w:val="en-GB"/>
        </w:rPr>
      </w:pPr>
    </w:p>
    <w:p w14:paraId="6C360FF6" w14:textId="6383F755" w:rsidR="002C2409" w:rsidRPr="009C679F" w:rsidRDefault="00790126" w:rsidP="00D06B6E">
      <w:pPr>
        <w:widowControl/>
        <w:jc w:val="center"/>
        <w:rPr>
          <w:b/>
          <w:lang w:val="en-GB"/>
        </w:rPr>
      </w:pPr>
      <w:r w:rsidRPr="009C679F">
        <w:rPr>
          <w:b/>
          <w:lang w:val="en-GB"/>
        </w:rPr>
        <w:t>Supplement to the</w:t>
      </w:r>
    </w:p>
    <w:p w14:paraId="56545C3C" w14:textId="710F4B2C" w:rsidR="00323919" w:rsidRPr="009C679F" w:rsidRDefault="00790126" w:rsidP="00D06B6E">
      <w:pPr>
        <w:widowControl/>
        <w:jc w:val="center"/>
        <w:rPr>
          <w:b/>
          <w:lang w:val="en-GB"/>
        </w:rPr>
      </w:pPr>
      <w:r w:rsidRPr="009C679F">
        <w:rPr>
          <w:b/>
          <w:lang w:val="en-GB"/>
        </w:rPr>
        <w:t>Prospectus</w:t>
      </w:r>
    </w:p>
    <w:p w14:paraId="7D634B6D" w14:textId="77777777" w:rsidR="00323919" w:rsidRPr="009C679F" w:rsidRDefault="00323919" w:rsidP="005A4FCE">
      <w:pPr>
        <w:pStyle w:val="BodyText"/>
        <w:widowControl/>
        <w:ind w:left="0"/>
        <w:jc w:val="center"/>
        <w:rPr>
          <w:lang w:val="en-GB"/>
        </w:rPr>
      </w:pPr>
    </w:p>
    <w:p w14:paraId="629D1132" w14:textId="77777777" w:rsidR="00D06B6E" w:rsidRPr="009C679F" w:rsidRDefault="00D06B6E" w:rsidP="005A4FCE">
      <w:pPr>
        <w:pStyle w:val="BodyText"/>
        <w:widowControl/>
        <w:ind w:left="0"/>
        <w:jc w:val="center"/>
        <w:rPr>
          <w:lang w:val="en-GB"/>
        </w:rPr>
      </w:pPr>
    </w:p>
    <w:p w14:paraId="6551886F" w14:textId="77777777" w:rsidR="00323919" w:rsidRPr="009C679F" w:rsidRDefault="00790126" w:rsidP="00D06B6E">
      <w:pPr>
        <w:widowControl/>
        <w:rPr>
          <w:b/>
          <w:lang w:val="en-GB"/>
        </w:rPr>
      </w:pPr>
      <w:r w:rsidRPr="009C679F">
        <w:rPr>
          <w:b/>
          <w:lang w:val="en-GB"/>
        </w:rPr>
        <w:t>This Supplement contains specific information in relation to Civetta Nanjia Fund, a sub-fund of Nanjia Capital ICAV (</w:t>
      </w:r>
      <w:r w:rsidRPr="009C679F">
        <w:rPr>
          <w:b/>
          <w:bCs/>
          <w:lang w:val="en-GB"/>
        </w:rPr>
        <w:t>the</w:t>
      </w:r>
      <w:r w:rsidRPr="009C679F">
        <w:rPr>
          <w:b/>
          <w:lang w:val="en-GB"/>
        </w:rPr>
        <w:t xml:space="preserve"> “ICAV”), an open-ended umbrella body corporate limited by shares, with variable capital and segregated liability between sub-funds, which is registered under the laws of Ireland and authorised under the European Communities (Undertakings for Collective Investment in Transferable Securities) Regulations, 2011 (as amended).</w:t>
      </w:r>
    </w:p>
    <w:p w14:paraId="03EC03A3" w14:textId="77777777" w:rsidR="00323919" w:rsidRPr="009C679F" w:rsidRDefault="00323919" w:rsidP="005A4FCE">
      <w:pPr>
        <w:pStyle w:val="BodyText"/>
        <w:widowControl/>
        <w:ind w:left="0"/>
        <w:rPr>
          <w:lang w:val="en-GB"/>
        </w:rPr>
      </w:pPr>
    </w:p>
    <w:p w14:paraId="10543A9E" w14:textId="799229B9" w:rsidR="00323919" w:rsidRPr="009C679F" w:rsidRDefault="00790126" w:rsidP="00D06B6E">
      <w:pPr>
        <w:widowControl/>
        <w:rPr>
          <w:b/>
          <w:lang w:val="en-GB"/>
        </w:rPr>
      </w:pPr>
      <w:r w:rsidRPr="009C679F">
        <w:rPr>
          <w:b/>
          <w:lang w:val="en-GB"/>
        </w:rPr>
        <w:t>This Supplement forms part of the Prospectus of the ICAV dated</w:t>
      </w:r>
      <w:r w:rsidR="000E3762" w:rsidRPr="009C679F">
        <w:rPr>
          <w:b/>
          <w:lang w:val="en-GB"/>
        </w:rPr>
        <w:t xml:space="preserve"> </w:t>
      </w:r>
      <w:r w:rsidR="00E976AE" w:rsidRPr="00E976AE">
        <w:rPr>
          <w:b/>
          <w:lang w:val="en-GB"/>
        </w:rPr>
        <w:t>13 November</w:t>
      </w:r>
      <w:r>
        <w:rPr>
          <w:b/>
          <w:lang w:val="en-GB"/>
        </w:rPr>
        <w:t xml:space="preserve"> 2024</w:t>
      </w:r>
      <w:r w:rsidR="00190734">
        <w:rPr>
          <w:b/>
        </w:rPr>
        <w:t xml:space="preserve"> </w:t>
      </w:r>
      <w:r w:rsidRPr="009C679F">
        <w:rPr>
          <w:b/>
          <w:lang w:val="en-GB"/>
        </w:rPr>
        <w:t xml:space="preserve">(the </w:t>
      </w:r>
      <w:r w:rsidR="002C2409" w:rsidRPr="009C679F">
        <w:rPr>
          <w:b/>
          <w:lang w:val="en-GB"/>
        </w:rPr>
        <w:t>“</w:t>
      </w:r>
      <w:r w:rsidRPr="009C679F">
        <w:rPr>
          <w:b/>
          <w:lang w:val="en-GB"/>
        </w:rPr>
        <w:t>Prospectus</w:t>
      </w:r>
      <w:r w:rsidR="002C2409" w:rsidRPr="009C679F">
        <w:rPr>
          <w:b/>
          <w:lang w:val="en-GB"/>
        </w:rPr>
        <w:t>”</w:t>
      </w:r>
      <w:r w:rsidRPr="009C679F">
        <w:rPr>
          <w:b/>
          <w:lang w:val="en-GB"/>
        </w:rPr>
        <w:t>) and should be read in the context of and together with the Prospectus.</w:t>
      </w:r>
    </w:p>
    <w:p w14:paraId="0A596DEF" w14:textId="77777777" w:rsidR="00323919" w:rsidRPr="00CB7082" w:rsidRDefault="00323919" w:rsidP="00CB7082">
      <w:pPr>
        <w:widowControl/>
        <w:rPr>
          <w:b/>
          <w:lang w:val="en-GB"/>
        </w:rPr>
      </w:pPr>
    </w:p>
    <w:p w14:paraId="23DB1596" w14:textId="77777777" w:rsidR="00323919" w:rsidRPr="009C679F" w:rsidRDefault="00790126" w:rsidP="00D06B6E">
      <w:pPr>
        <w:widowControl/>
        <w:rPr>
          <w:lang w:val="en-GB"/>
        </w:rPr>
      </w:pPr>
      <w:r w:rsidRPr="009C679F">
        <w:rPr>
          <w:lang w:val="en-GB"/>
        </w:rPr>
        <w:t>The Directors of the ICAV, whose names appear under the section entitled Directors of the ICAV in the Prospectus, accept responsibility for the information contained in the Prospectus and this Supplement. To the best of the knowledge and belief of the Directors (who have taken all reasonable care to ensure that such is the case) such information is in accordance with the facts and does not omit anything likely to affect the importance of such information. The Directors accept responsibility accordingly.</w:t>
      </w:r>
    </w:p>
    <w:p w14:paraId="7F1CF532" w14:textId="77777777" w:rsidR="002C2409" w:rsidRPr="009C679F" w:rsidRDefault="002C2409" w:rsidP="00D06B6E">
      <w:pPr>
        <w:widowControl/>
        <w:rPr>
          <w:lang w:val="en-GB"/>
        </w:rPr>
      </w:pPr>
    </w:p>
    <w:p w14:paraId="271BB139" w14:textId="296B256D" w:rsidR="00323919" w:rsidRPr="009C679F" w:rsidRDefault="00790126" w:rsidP="00D06B6E">
      <w:pPr>
        <w:widowControl/>
        <w:rPr>
          <w:lang w:val="en-GB"/>
        </w:rPr>
      </w:pPr>
      <w:r w:rsidRPr="009C679F">
        <w:rPr>
          <w:lang w:val="en-GB"/>
        </w:rPr>
        <w:t>Words and expressions defined in the Prospectus shall, unless the context otherwise requires, have the same meaning when used in this Supplement.</w:t>
      </w:r>
    </w:p>
    <w:p w14:paraId="7FD4A223" w14:textId="77777777" w:rsidR="002C2409" w:rsidRPr="009C679F" w:rsidRDefault="002C2409" w:rsidP="005A4FCE">
      <w:pPr>
        <w:pStyle w:val="BodyText"/>
        <w:widowControl/>
        <w:ind w:left="0"/>
        <w:rPr>
          <w:lang w:val="en-GB"/>
        </w:rPr>
      </w:pPr>
    </w:p>
    <w:p w14:paraId="43AF24EE" w14:textId="0281ED1E" w:rsidR="00323919" w:rsidRPr="009C679F" w:rsidRDefault="00790126" w:rsidP="00D06B6E">
      <w:pPr>
        <w:widowControl/>
        <w:rPr>
          <w:b/>
          <w:lang w:val="en-GB"/>
        </w:rPr>
      </w:pPr>
      <w:r w:rsidRPr="009C679F">
        <w:rPr>
          <w:b/>
          <w:lang w:val="en-GB"/>
        </w:rPr>
        <w:t>Investors should note that an investment in the Fund should not constitute a substantial proportion of an investment portfolio and may not be appropriate for all investors.</w:t>
      </w:r>
    </w:p>
    <w:p w14:paraId="0774A49C" w14:textId="77777777" w:rsidR="002C2409" w:rsidRPr="009C679F" w:rsidRDefault="002C2409" w:rsidP="00D06B6E">
      <w:pPr>
        <w:widowControl/>
        <w:rPr>
          <w:b/>
          <w:lang w:val="en-GB"/>
        </w:rPr>
      </w:pPr>
    </w:p>
    <w:p w14:paraId="3128A484" w14:textId="77777777" w:rsidR="00323919" w:rsidRPr="009C679F" w:rsidRDefault="00790126" w:rsidP="00D06B6E">
      <w:pPr>
        <w:widowControl/>
        <w:rPr>
          <w:b/>
          <w:lang w:val="en-GB"/>
        </w:rPr>
      </w:pPr>
      <w:r w:rsidRPr="009C679F">
        <w:rPr>
          <w:b/>
          <w:lang w:val="en-GB"/>
        </w:rPr>
        <w:t>The Fund may have a high volatility due to its investment policy or portfolio management techniques.</w:t>
      </w:r>
    </w:p>
    <w:p w14:paraId="7F3C1E90" w14:textId="77777777" w:rsidR="00323919" w:rsidRPr="009C679F" w:rsidRDefault="00323919" w:rsidP="005A4FCE">
      <w:pPr>
        <w:pStyle w:val="BodyText"/>
        <w:widowControl/>
        <w:ind w:left="0"/>
        <w:rPr>
          <w:lang w:val="en-GB"/>
        </w:rPr>
      </w:pPr>
    </w:p>
    <w:p w14:paraId="406D6682" w14:textId="77777777" w:rsidR="00323919" w:rsidRPr="009C679F" w:rsidRDefault="00323919" w:rsidP="005A4FCE">
      <w:pPr>
        <w:pStyle w:val="BodyText"/>
        <w:widowControl/>
        <w:ind w:left="0"/>
        <w:rPr>
          <w:lang w:val="en-GB"/>
        </w:rPr>
      </w:pPr>
    </w:p>
    <w:p w14:paraId="7DD107AE" w14:textId="7EFE7F03" w:rsidR="00323919" w:rsidRPr="009C679F" w:rsidRDefault="00790126" w:rsidP="00DA0595">
      <w:pPr>
        <w:widowControl/>
        <w:rPr>
          <w:b/>
          <w:lang w:val="en-GB"/>
        </w:rPr>
        <w:sectPr w:rsidR="00323919" w:rsidRPr="009C679F" w:rsidSect="00DF7974">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1134" w:bottom="1134" w:left="1134" w:header="426" w:footer="601" w:gutter="0"/>
          <w:pgNumType w:start="1"/>
          <w:cols w:space="720"/>
          <w:titlePg/>
          <w:docGrid w:linePitch="245"/>
        </w:sectPr>
      </w:pPr>
      <w:r w:rsidRPr="009C679F">
        <w:rPr>
          <w:b/>
          <w:lang w:val="en-GB"/>
        </w:rPr>
        <w:t>Dated:</w:t>
      </w:r>
      <w:r w:rsidR="00190734" w:rsidRPr="005A4FCE">
        <w:rPr>
          <w:b/>
          <w:lang w:val="en-GB"/>
        </w:rPr>
        <w:t xml:space="preserve"> </w:t>
      </w:r>
      <w:r w:rsidR="00E976AE" w:rsidRPr="00E976AE">
        <w:rPr>
          <w:b/>
          <w:lang w:val="en-GB"/>
        </w:rPr>
        <w:t>13 November</w:t>
      </w:r>
      <w:r>
        <w:rPr>
          <w:b/>
          <w:lang w:val="en-GB"/>
        </w:rPr>
        <w:t xml:space="preserve"> 2024</w:t>
      </w:r>
    </w:p>
    <w:p w14:paraId="20EAC33E" w14:textId="29033A24" w:rsidR="00323919" w:rsidRPr="009C679F" w:rsidRDefault="00790126" w:rsidP="00D06B6E">
      <w:pPr>
        <w:widowControl/>
        <w:rPr>
          <w:b/>
          <w:lang w:val="en-GB"/>
        </w:rPr>
      </w:pPr>
      <w:r w:rsidRPr="009C679F">
        <w:rPr>
          <w:b/>
          <w:lang w:val="en-GB"/>
        </w:rPr>
        <w:lastRenderedPageBreak/>
        <w:t>DIRECTORY</w:t>
      </w:r>
    </w:p>
    <w:p w14:paraId="08143D21" w14:textId="77777777" w:rsidR="00F505F2" w:rsidRPr="009C679F" w:rsidRDefault="00F505F2" w:rsidP="00D06B6E">
      <w:pPr>
        <w:widowControl/>
        <w:rPr>
          <w:lang w:val="en-GB"/>
        </w:rPr>
      </w:pPr>
    </w:p>
    <w:p w14:paraId="32CD4DA0" w14:textId="6C86DE88" w:rsidR="00AB73A1" w:rsidRDefault="00F505F2"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1.</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INVESTMENT OBJECTIVE AND POLICIES</w:t>
      </w:r>
      <w:r>
        <w:rPr>
          <w:noProof/>
          <w:webHidden/>
        </w:rPr>
        <w:tab/>
        <w:t>3</w:t>
      </w:r>
    </w:p>
    <w:p w14:paraId="0927BC1C"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2.</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BORROWING</w:t>
      </w:r>
      <w:r>
        <w:rPr>
          <w:noProof/>
          <w:webHidden/>
        </w:rPr>
        <w:tab/>
        <w:t>4</w:t>
      </w:r>
    </w:p>
    <w:p w14:paraId="54682E80"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3.</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LEVERAGE AND GLOBAL EXPOSURE</w:t>
      </w:r>
      <w:r>
        <w:rPr>
          <w:noProof/>
          <w:webHidden/>
        </w:rPr>
        <w:tab/>
        <w:t>4</w:t>
      </w:r>
    </w:p>
    <w:p w14:paraId="3BCCC469"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4.</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INVESTMENT RESTRICTIONS</w:t>
      </w:r>
      <w:r>
        <w:rPr>
          <w:noProof/>
          <w:webHidden/>
        </w:rPr>
        <w:tab/>
        <w:t>4</w:t>
      </w:r>
    </w:p>
    <w:p w14:paraId="3997B6CD"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5.</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INVESTMENT MANAGER</w:t>
      </w:r>
      <w:r>
        <w:rPr>
          <w:noProof/>
          <w:webHidden/>
        </w:rPr>
        <w:tab/>
        <w:t>5</w:t>
      </w:r>
    </w:p>
    <w:p w14:paraId="0C4CBB54"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6.</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RISK FACTORS</w:t>
      </w:r>
      <w:r>
        <w:rPr>
          <w:noProof/>
          <w:webHidden/>
        </w:rPr>
        <w:tab/>
        <w:t>5</w:t>
      </w:r>
    </w:p>
    <w:p w14:paraId="76BB4BB8"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7.</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DIVIDEND POLICY</w:t>
      </w:r>
      <w:r>
        <w:rPr>
          <w:noProof/>
          <w:webHidden/>
        </w:rPr>
        <w:tab/>
        <w:t>5</w:t>
      </w:r>
    </w:p>
    <w:p w14:paraId="0A54D99E"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8.</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TAX STATUS</w:t>
      </w:r>
      <w:r>
        <w:rPr>
          <w:noProof/>
          <w:webHidden/>
        </w:rPr>
        <w:tab/>
        <w:t>5</w:t>
      </w:r>
    </w:p>
    <w:p w14:paraId="742D3AF7"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9.</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KEY INFORMATION FOR SUBSCRIBING AND REDEEMING</w:t>
      </w:r>
      <w:r>
        <w:rPr>
          <w:noProof/>
          <w:webHidden/>
        </w:rPr>
        <w:tab/>
        <w:t>5</w:t>
      </w:r>
    </w:p>
    <w:p w14:paraId="063C1B42"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10.</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HOW TO SUBSCRIBE FOR SHARES</w:t>
      </w:r>
      <w:r>
        <w:rPr>
          <w:noProof/>
          <w:webHidden/>
        </w:rPr>
        <w:tab/>
        <w:t>8</w:t>
      </w:r>
    </w:p>
    <w:p w14:paraId="4AEE5A77"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11.</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HOW TO REDEEM SHARES</w:t>
      </w:r>
      <w:r>
        <w:rPr>
          <w:noProof/>
          <w:webHidden/>
        </w:rPr>
        <w:tab/>
        <w:t>9</w:t>
      </w:r>
    </w:p>
    <w:p w14:paraId="35115681"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12.</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ANTI-MONEY LAUNDERING</w:t>
      </w:r>
      <w:r>
        <w:rPr>
          <w:noProof/>
          <w:webHidden/>
        </w:rPr>
        <w:tab/>
        <w:t>9</w:t>
      </w:r>
    </w:p>
    <w:p w14:paraId="75307371"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13.</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FEES AND EXPENSES</w:t>
      </w:r>
      <w:r>
        <w:rPr>
          <w:noProof/>
          <w:webHidden/>
        </w:rPr>
        <w:tab/>
        <w:t>9</w:t>
      </w:r>
    </w:p>
    <w:p w14:paraId="5EC9BB6C" w14:textId="77777777" w:rsidR="00AB73A1" w:rsidRDefault="00C01A38" w:rsidP="00EC221B">
      <w:pPr>
        <w:pStyle w:val="TOC1"/>
        <w:tabs>
          <w:tab w:val="right" w:leader="dot" w:pos="9632"/>
        </w:tabs>
        <w:ind w:left="852"/>
        <w:rPr>
          <w:rFonts w:asciiTheme="minorHAnsi" w:eastAsiaTheme="minorEastAsia" w:hAnsiTheme="minorHAnsi" w:cstheme="minorBidi"/>
          <w:noProof/>
          <w:kern w:val="2"/>
          <w:sz w:val="24"/>
          <w:szCs w:val="30"/>
          <w:lang w:val="en-HK" w:eastAsia="zh-CN" w:bidi="th-TH"/>
          <w14:ligatures w14:val="standardContextual"/>
        </w:rPr>
      </w:pPr>
      <w:r w:rsidRPr="005116AD">
        <w:rPr>
          <w:rStyle w:val="Hyperlink"/>
          <w:color w:val="auto"/>
          <w:u w:val="none"/>
          <w:lang w:val="en-GB"/>
        </w:rPr>
        <w:t>14.</w:t>
      </w:r>
      <w:r>
        <w:rPr>
          <w:rFonts w:asciiTheme="minorHAnsi" w:eastAsiaTheme="minorEastAsia" w:hAnsiTheme="minorHAnsi" w:cstheme="minorBidi"/>
          <w:noProof/>
          <w:kern w:val="2"/>
          <w:sz w:val="24"/>
          <w:szCs w:val="30"/>
          <w:lang w:val="en-HK" w:eastAsia="zh-CN" w:bidi="th-TH"/>
          <w14:ligatures w14:val="standardContextual"/>
        </w:rPr>
        <w:tab/>
      </w:r>
      <w:r w:rsidRPr="005116AD">
        <w:rPr>
          <w:rStyle w:val="Hyperlink"/>
          <w:color w:val="auto"/>
          <w:u w:val="none"/>
          <w:lang w:val="en-GB"/>
        </w:rPr>
        <w:t>MISCELLANEOUS</w:t>
      </w:r>
      <w:r>
        <w:rPr>
          <w:noProof/>
          <w:webHidden/>
        </w:rPr>
        <w:tab/>
        <w:t>11</w:t>
      </w:r>
    </w:p>
    <w:p w14:paraId="7C28045C" w14:textId="77777777" w:rsidR="00F505F2" w:rsidRDefault="00F505F2" w:rsidP="00EC221B">
      <w:pPr>
        <w:widowControl/>
        <w:rPr>
          <w:lang w:val="en-GB"/>
        </w:rPr>
      </w:pPr>
    </w:p>
    <w:p w14:paraId="263C2D5E" w14:textId="77777777" w:rsidR="00EC221B" w:rsidRDefault="00EC221B" w:rsidP="00EC221B">
      <w:pPr>
        <w:widowControl/>
        <w:rPr>
          <w:lang w:val="en-GB"/>
        </w:rPr>
      </w:pPr>
    </w:p>
    <w:p w14:paraId="6DA53102" w14:textId="77777777" w:rsidR="00EC221B" w:rsidRDefault="00EC221B" w:rsidP="00EC221B">
      <w:pPr>
        <w:widowControl/>
        <w:rPr>
          <w:lang w:val="en-GB"/>
        </w:rPr>
      </w:pPr>
    </w:p>
    <w:p w14:paraId="75560CF7" w14:textId="77777777" w:rsidR="00EC221B" w:rsidRDefault="00EC221B" w:rsidP="00EC221B">
      <w:pPr>
        <w:widowControl/>
        <w:rPr>
          <w:lang w:val="en-GB"/>
        </w:rPr>
      </w:pPr>
    </w:p>
    <w:p w14:paraId="013C47A9" w14:textId="77777777" w:rsidR="00EC221B" w:rsidRPr="009C679F" w:rsidRDefault="00EC221B" w:rsidP="005A4FCE">
      <w:pPr>
        <w:widowControl/>
        <w:rPr>
          <w:lang w:val="en-GB"/>
        </w:rPr>
        <w:sectPr w:rsidR="00EC221B" w:rsidRPr="009C679F" w:rsidSect="00F505F2">
          <w:headerReference w:type="even" r:id="rId14"/>
          <w:headerReference w:type="default" r:id="rId15"/>
          <w:footerReference w:type="even" r:id="rId16"/>
          <w:footerReference w:type="default" r:id="rId17"/>
          <w:headerReference w:type="first" r:id="rId18"/>
          <w:footerReference w:type="first" r:id="rId19"/>
          <w:pgSz w:w="11910" w:h="16840"/>
          <w:pgMar w:top="1134" w:right="1134" w:bottom="1134" w:left="1134" w:header="0" w:footer="599" w:gutter="0"/>
          <w:cols w:space="720"/>
          <w:docGrid w:linePitch="245"/>
        </w:sectPr>
      </w:pPr>
    </w:p>
    <w:p w14:paraId="1EA3CD1A" w14:textId="77777777" w:rsidR="000F6218" w:rsidRPr="009C679F" w:rsidRDefault="00790126" w:rsidP="00D06B6E">
      <w:pPr>
        <w:pStyle w:val="ListParagraph"/>
        <w:widowControl/>
        <w:rPr>
          <w:lang w:val="en-GB"/>
        </w:rPr>
      </w:pPr>
      <w:bookmarkStart w:id="0" w:name="_bookmark0"/>
      <w:bookmarkStart w:id="1" w:name="_Toc98334820"/>
      <w:bookmarkStart w:id="2" w:name="_Toc172121747"/>
      <w:bookmarkEnd w:id="0"/>
      <w:r w:rsidRPr="009C679F">
        <w:rPr>
          <w:lang w:val="en-GB"/>
        </w:rPr>
        <w:lastRenderedPageBreak/>
        <w:t>INVESTMENT OBJECTIVE AND POLICIES</w:t>
      </w:r>
      <w:bookmarkEnd w:id="1"/>
      <w:bookmarkEnd w:id="2"/>
      <w:r w:rsidRPr="009C679F">
        <w:rPr>
          <w:lang w:val="en-GB"/>
        </w:rPr>
        <w:t xml:space="preserve"> </w:t>
      </w:r>
    </w:p>
    <w:p w14:paraId="6950E628" w14:textId="0D002734" w:rsidR="00323919" w:rsidRPr="009C679F" w:rsidRDefault="00790126" w:rsidP="00D06B6E">
      <w:pPr>
        <w:pStyle w:val="Heading1"/>
        <w:widowControl/>
      </w:pPr>
      <w:bookmarkStart w:id="3" w:name="_Toc173750971"/>
      <w:r w:rsidRPr="009C679F">
        <w:t>Investment Objective</w:t>
      </w:r>
      <w:bookmarkEnd w:id="3"/>
    </w:p>
    <w:p w14:paraId="31DF36C6" w14:textId="77777777" w:rsidR="000F6218" w:rsidRPr="009C679F" w:rsidRDefault="000F6218" w:rsidP="00D06B6E">
      <w:pPr>
        <w:pStyle w:val="Heading1"/>
        <w:widowControl/>
      </w:pPr>
    </w:p>
    <w:p w14:paraId="5F9A750E" w14:textId="77777777" w:rsidR="00323919" w:rsidRPr="009C679F" w:rsidRDefault="00790126" w:rsidP="00D06B6E">
      <w:pPr>
        <w:pStyle w:val="BodyText"/>
        <w:widowControl/>
        <w:rPr>
          <w:lang w:val="en-GB"/>
        </w:rPr>
      </w:pPr>
      <w:r w:rsidRPr="009C679F">
        <w:rPr>
          <w:lang w:val="en-GB"/>
        </w:rPr>
        <w:t>The Fund’s investment objective is to provide its Investors with a superior absolute return over an extended period of time (three (3) to five (5) years).</w:t>
      </w:r>
    </w:p>
    <w:p w14:paraId="438982D6" w14:textId="77777777" w:rsidR="00323919" w:rsidRPr="009C679F" w:rsidRDefault="00323919" w:rsidP="00D06B6E">
      <w:pPr>
        <w:pStyle w:val="BodyText"/>
        <w:widowControl/>
        <w:rPr>
          <w:lang w:val="en-GB"/>
        </w:rPr>
      </w:pPr>
    </w:p>
    <w:p w14:paraId="4F89F8F7" w14:textId="2933B2D3" w:rsidR="00EB7336" w:rsidRPr="009C679F" w:rsidRDefault="00790126" w:rsidP="00D06B6E">
      <w:pPr>
        <w:pStyle w:val="Heading1"/>
        <w:widowControl/>
      </w:pPr>
      <w:bookmarkStart w:id="4" w:name="_Toc173750972"/>
      <w:r w:rsidRPr="009C679F">
        <w:t>Profile of a Typical Investor</w:t>
      </w:r>
      <w:bookmarkEnd w:id="4"/>
    </w:p>
    <w:p w14:paraId="2EE5DB33" w14:textId="77777777" w:rsidR="00323919" w:rsidRPr="009C679F" w:rsidRDefault="00323919" w:rsidP="00D06B6E">
      <w:pPr>
        <w:widowControl/>
        <w:rPr>
          <w:lang w:val="en-GB"/>
        </w:rPr>
      </w:pPr>
    </w:p>
    <w:p w14:paraId="4316FF94" w14:textId="77777777" w:rsidR="00323919" w:rsidRPr="009C679F" w:rsidRDefault="00790126" w:rsidP="00D06B6E">
      <w:pPr>
        <w:pStyle w:val="BodyText"/>
        <w:widowControl/>
        <w:rPr>
          <w:lang w:val="en-GB"/>
        </w:rPr>
      </w:pPr>
      <w:r w:rsidRPr="009C679F">
        <w:rPr>
          <w:lang w:val="en-GB"/>
        </w:rPr>
        <w:t>This Fund is suitable for investors who primarily seek capital growth. Investors should have a high tolerance for risk and be willing and able to accept volatility and/or potential losses. This Fund is not appropriate for short term investment and is designed for investors who will hold shares in the Fund as part of a wider diversified portfolio.</w:t>
      </w:r>
    </w:p>
    <w:p w14:paraId="6457B89D" w14:textId="77777777" w:rsidR="00323919" w:rsidRPr="009C679F" w:rsidRDefault="00323919" w:rsidP="00D06B6E">
      <w:pPr>
        <w:pStyle w:val="BodyText"/>
        <w:widowControl/>
        <w:rPr>
          <w:lang w:val="en-GB"/>
        </w:rPr>
      </w:pPr>
    </w:p>
    <w:p w14:paraId="145255CD" w14:textId="77777777" w:rsidR="00323919" w:rsidRPr="009C679F" w:rsidRDefault="00790126" w:rsidP="00D06B6E">
      <w:pPr>
        <w:pStyle w:val="Heading1"/>
        <w:widowControl/>
      </w:pPr>
      <w:bookmarkStart w:id="5" w:name="_Toc173750973"/>
      <w:r w:rsidRPr="009C679F">
        <w:t>Investment Policy</w:t>
      </w:r>
      <w:bookmarkEnd w:id="5"/>
    </w:p>
    <w:p w14:paraId="35B24921" w14:textId="77777777" w:rsidR="00323919" w:rsidRPr="009C679F" w:rsidRDefault="00323919" w:rsidP="00D06B6E">
      <w:pPr>
        <w:pStyle w:val="BodyText"/>
        <w:widowControl/>
        <w:rPr>
          <w:lang w:val="en-GB"/>
        </w:rPr>
      </w:pPr>
    </w:p>
    <w:p w14:paraId="13AC3E8C" w14:textId="3F60189A" w:rsidR="00323919" w:rsidRPr="009C679F" w:rsidRDefault="00790126" w:rsidP="00D06B6E">
      <w:pPr>
        <w:pStyle w:val="BodyText"/>
        <w:widowControl/>
        <w:rPr>
          <w:lang w:val="en-GB"/>
        </w:rPr>
      </w:pPr>
      <w:r w:rsidRPr="009C679F">
        <w:rPr>
          <w:lang w:val="en-GB"/>
        </w:rPr>
        <w:t xml:space="preserve">The Fund's investment policy is to primarily (meaning, in the ordinary course, at least 80%) invest in a concentrated long-only portfolio of publicly traded Asian equities or equities which derive the majority of their income from Asian countries. The Fund will focus on </w:t>
      </w:r>
      <w:r w:rsidR="000B7515" w:rsidRPr="009C679F">
        <w:rPr>
          <w:lang w:val="en-GB"/>
        </w:rPr>
        <w:t>between</w:t>
      </w:r>
      <w:r w:rsidRPr="009C679F">
        <w:rPr>
          <w:lang w:val="en-GB"/>
        </w:rPr>
        <w:t xml:space="preserve"> twenty </w:t>
      </w:r>
      <w:r w:rsidR="000B7515" w:rsidRPr="009C679F">
        <w:rPr>
          <w:lang w:val="en-GB"/>
        </w:rPr>
        <w:t>to forty</w:t>
      </w:r>
      <w:r w:rsidRPr="009C679F">
        <w:rPr>
          <w:lang w:val="en-GB"/>
        </w:rPr>
        <w:t xml:space="preserve"> stocks, with a preference for small and mid-cap companies. The geographic area covered will focus on but are not limited to companies in the ASEAN region, but the Fund may also have exposure to China (by investment in H-Shares and shares of Red-Chip Companies listed on the Hong Kong Stock Exchange), Hong Kong, South Korea, and Taiwan, and companies in markets which are active in South East Asia or which derive the majority of their revenue from activities in ASEAN markets.</w:t>
      </w:r>
    </w:p>
    <w:p w14:paraId="51E8463E" w14:textId="77777777" w:rsidR="00323919" w:rsidRPr="009C679F" w:rsidRDefault="00323919" w:rsidP="00D06B6E">
      <w:pPr>
        <w:pStyle w:val="BodyText"/>
        <w:widowControl/>
        <w:rPr>
          <w:lang w:val="en-GB"/>
        </w:rPr>
      </w:pPr>
    </w:p>
    <w:p w14:paraId="56DB9A01" w14:textId="649C9E84" w:rsidR="00323919" w:rsidRPr="009C679F" w:rsidRDefault="00790126" w:rsidP="00D06B6E">
      <w:pPr>
        <w:pStyle w:val="BodyText"/>
        <w:widowControl/>
        <w:rPr>
          <w:lang w:val="en-GB"/>
        </w:rPr>
      </w:pPr>
      <w:r w:rsidRPr="009C679F">
        <w:rPr>
          <w:lang w:val="en-GB"/>
        </w:rPr>
        <w:t>The Fund will invest more than 20% of NAV in Emerging Markets. The</w:t>
      </w:r>
      <w:r w:rsidR="00BD0A7E" w:rsidRPr="009C679F">
        <w:rPr>
          <w:lang w:val="en-GB"/>
        </w:rPr>
        <w:t xml:space="preserve"> </w:t>
      </w:r>
      <w:r w:rsidRPr="009C679F">
        <w:rPr>
          <w:lang w:val="en-GB"/>
        </w:rPr>
        <w:t>Fund may also invest in cash and collective investment schemes.</w:t>
      </w:r>
    </w:p>
    <w:p w14:paraId="58C31722" w14:textId="77777777" w:rsidR="00BD0A7E" w:rsidRPr="009C679F" w:rsidRDefault="00BD0A7E" w:rsidP="00D06B6E">
      <w:pPr>
        <w:pStyle w:val="BodyText"/>
        <w:widowControl/>
        <w:rPr>
          <w:lang w:val="en-GB"/>
        </w:rPr>
      </w:pPr>
    </w:p>
    <w:p w14:paraId="41AFFE44" w14:textId="2A033989" w:rsidR="00323919" w:rsidRPr="009C679F" w:rsidRDefault="00790126" w:rsidP="00D06B6E">
      <w:pPr>
        <w:pStyle w:val="BodyText"/>
        <w:widowControl/>
        <w:rPr>
          <w:lang w:val="en-GB"/>
        </w:rPr>
      </w:pPr>
      <w:r w:rsidRPr="009C679F">
        <w:rPr>
          <w:lang w:val="en-GB"/>
        </w:rPr>
        <w:t>For the purposes of the above “Investment Policy” section, the following definitions apply:</w:t>
      </w:r>
    </w:p>
    <w:p w14:paraId="17BA51BE" w14:textId="77777777" w:rsidR="00323919" w:rsidRPr="009C679F" w:rsidRDefault="00323919" w:rsidP="00D06B6E">
      <w:pPr>
        <w:pStyle w:val="BodyText"/>
        <w:widowControl/>
        <w:rPr>
          <w:lang w:val="en-GB"/>
        </w:rPr>
      </w:pPr>
    </w:p>
    <w:p w14:paraId="61DEB419" w14:textId="77777777" w:rsidR="00323919" w:rsidRPr="009C679F" w:rsidRDefault="00790126" w:rsidP="00D06B6E">
      <w:pPr>
        <w:pStyle w:val="BodyText"/>
        <w:widowControl/>
        <w:rPr>
          <w:lang w:val="en-GB"/>
        </w:rPr>
      </w:pPr>
      <w:r w:rsidRPr="009C679F">
        <w:rPr>
          <w:b/>
          <w:lang w:val="en-GB"/>
        </w:rPr>
        <w:t xml:space="preserve">H-Shares: </w:t>
      </w:r>
      <w:r w:rsidRPr="009C679F">
        <w:rPr>
          <w:lang w:val="en-GB"/>
        </w:rPr>
        <w:t>Shares of the H-share companies incorporated in the Mainland China and approved by the China Securities Regulatory Commission for a listing on the Hong Kong Stock Exchange.</w:t>
      </w:r>
    </w:p>
    <w:p w14:paraId="37B00743" w14:textId="77777777" w:rsidR="00323919" w:rsidRPr="009C679F" w:rsidRDefault="00323919" w:rsidP="00D06B6E">
      <w:pPr>
        <w:pStyle w:val="BodyText"/>
        <w:widowControl/>
        <w:rPr>
          <w:lang w:val="en-GB"/>
        </w:rPr>
      </w:pPr>
    </w:p>
    <w:p w14:paraId="7713698E" w14:textId="77777777" w:rsidR="00323919" w:rsidRPr="009C679F" w:rsidRDefault="00790126" w:rsidP="00D06B6E">
      <w:pPr>
        <w:pStyle w:val="Heading1"/>
        <w:widowControl/>
      </w:pPr>
      <w:bookmarkStart w:id="6" w:name="_Toc173750974"/>
      <w:r w:rsidRPr="009C679F">
        <w:t>Red-chips Companies:</w:t>
      </w:r>
      <w:bookmarkEnd w:id="6"/>
    </w:p>
    <w:p w14:paraId="79F1ABF2" w14:textId="77777777" w:rsidR="000F6218" w:rsidRPr="009C679F" w:rsidRDefault="000F6218" w:rsidP="00D06B6E">
      <w:pPr>
        <w:pStyle w:val="Heading1"/>
        <w:widowControl/>
      </w:pPr>
    </w:p>
    <w:p w14:paraId="3EC57315" w14:textId="38415967" w:rsidR="00323919" w:rsidRPr="009C679F" w:rsidRDefault="00790126" w:rsidP="00D06B6E">
      <w:pPr>
        <w:pStyle w:val="BodyText"/>
        <w:widowControl/>
        <w:numPr>
          <w:ilvl w:val="0"/>
          <w:numId w:val="5"/>
        </w:numPr>
        <w:rPr>
          <w:lang w:val="en-GB"/>
        </w:rPr>
      </w:pPr>
      <w:r w:rsidRPr="009C679F">
        <w:rPr>
          <w:lang w:val="en-GB"/>
        </w:rPr>
        <w:t>Companies having at least 30% shareholding held in aggregate by Mainland China entities, and/or indirectly through companies controlled by them, with the Mainland China entities being the single largest shareholders in aggregate terms; or</w:t>
      </w:r>
    </w:p>
    <w:p w14:paraId="290FA22A" w14:textId="77777777" w:rsidR="00267EBD" w:rsidRPr="009C679F" w:rsidRDefault="00267EBD" w:rsidP="00D06B6E">
      <w:pPr>
        <w:pStyle w:val="BodyText"/>
        <w:widowControl/>
        <w:rPr>
          <w:lang w:val="en-GB"/>
        </w:rPr>
      </w:pPr>
    </w:p>
    <w:p w14:paraId="37DCC844" w14:textId="78E6E5D1" w:rsidR="00323919" w:rsidRPr="009C679F" w:rsidRDefault="00790126" w:rsidP="00D06B6E">
      <w:pPr>
        <w:pStyle w:val="BodyText"/>
        <w:widowControl/>
        <w:numPr>
          <w:ilvl w:val="0"/>
          <w:numId w:val="5"/>
        </w:numPr>
        <w:rPr>
          <w:lang w:val="en-GB"/>
        </w:rPr>
      </w:pPr>
      <w:r w:rsidRPr="009C679F">
        <w:rPr>
          <w:lang w:val="en-GB"/>
        </w:rPr>
        <w:t>if the shareholding of the company held in aggregate directly and/or indirectly by Mainland China entities is below 30% but is 20% or above and there is a strong influential presence, on a judg</w:t>
      </w:r>
      <w:r w:rsidR="00BE5A82" w:rsidRPr="009C679F">
        <w:rPr>
          <w:lang w:val="en-GB"/>
        </w:rPr>
        <w:t>e</w:t>
      </w:r>
      <w:r w:rsidRPr="009C679F">
        <w:rPr>
          <w:lang w:val="en-GB"/>
        </w:rPr>
        <w:t>mental basis, of Mainland China-linked individuals on the company's board of directors.</w:t>
      </w:r>
    </w:p>
    <w:p w14:paraId="2BFBB82A" w14:textId="77777777" w:rsidR="00323919" w:rsidRPr="009C679F" w:rsidRDefault="00323919" w:rsidP="00D06B6E">
      <w:pPr>
        <w:pStyle w:val="BodyText"/>
        <w:widowControl/>
        <w:rPr>
          <w:lang w:val="en-GB"/>
        </w:rPr>
      </w:pPr>
    </w:p>
    <w:p w14:paraId="72D4E677" w14:textId="77777777" w:rsidR="00323919" w:rsidRPr="009C679F" w:rsidRDefault="00790126" w:rsidP="00D06B6E">
      <w:pPr>
        <w:pStyle w:val="Heading1"/>
        <w:widowControl/>
      </w:pPr>
      <w:bookmarkStart w:id="7" w:name="_Toc173750975"/>
      <w:r w:rsidRPr="009C679F">
        <w:t>Base Currency</w:t>
      </w:r>
      <w:bookmarkEnd w:id="7"/>
    </w:p>
    <w:p w14:paraId="6C9A60CF" w14:textId="77777777" w:rsidR="00323919" w:rsidRPr="009C679F" w:rsidRDefault="00323919" w:rsidP="00D06B6E">
      <w:pPr>
        <w:pStyle w:val="BodyText"/>
        <w:widowControl/>
        <w:rPr>
          <w:lang w:val="en-GB"/>
        </w:rPr>
      </w:pPr>
    </w:p>
    <w:p w14:paraId="7980CF85" w14:textId="77777777" w:rsidR="00323919" w:rsidRPr="009C679F" w:rsidRDefault="00790126" w:rsidP="00D06B6E">
      <w:pPr>
        <w:pStyle w:val="BodyText"/>
        <w:widowControl/>
        <w:rPr>
          <w:lang w:val="en-GB"/>
        </w:rPr>
      </w:pPr>
      <w:r w:rsidRPr="009C679F">
        <w:rPr>
          <w:lang w:val="en-GB"/>
        </w:rPr>
        <w:t>The Base Currency of the Fund is US dollars.</w:t>
      </w:r>
    </w:p>
    <w:p w14:paraId="5DA617ED" w14:textId="77777777" w:rsidR="00323919" w:rsidRPr="009C679F" w:rsidRDefault="00323919" w:rsidP="00D06B6E">
      <w:pPr>
        <w:pStyle w:val="BodyText"/>
        <w:widowControl/>
        <w:rPr>
          <w:lang w:val="en-GB"/>
        </w:rPr>
      </w:pPr>
    </w:p>
    <w:p w14:paraId="47F0CD9E" w14:textId="77777777" w:rsidR="00323919" w:rsidRPr="009C679F" w:rsidRDefault="00790126" w:rsidP="00D06B6E">
      <w:pPr>
        <w:pStyle w:val="Heading1"/>
        <w:widowControl/>
      </w:pPr>
      <w:bookmarkStart w:id="8" w:name="_Toc173750976"/>
      <w:r w:rsidRPr="009C679F">
        <w:t>Investment Selection</w:t>
      </w:r>
      <w:bookmarkEnd w:id="8"/>
    </w:p>
    <w:p w14:paraId="7C0CFD29" w14:textId="77777777" w:rsidR="00323919" w:rsidRPr="009C679F" w:rsidRDefault="00323919" w:rsidP="00D06B6E">
      <w:pPr>
        <w:pStyle w:val="BodyText"/>
        <w:widowControl/>
        <w:rPr>
          <w:lang w:val="en-GB"/>
        </w:rPr>
      </w:pPr>
    </w:p>
    <w:p w14:paraId="19591B23" w14:textId="1EF030D1" w:rsidR="00323919" w:rsidRPr="009C679F" w:rsidRDefault="00790126" w:rsidP="00D06B6E">
      <w:pPr>
        <w:pStyle w:val="BodyText"/>
        <w:widowControl/>
        <w:rPr>
          <w:lang w:val="en-GB"/>
        </w:rPr>
      </w:pPr>
      <w:r w:rsidRPr="009C679F">
        <w:rPr>
          <w:lang w:val="en-GB"/>
        </w:rPr>
        <w:t>The strategy is entirely focused on long only, bottom up, fundamental single cash equity positions.</w:t>
      </w:r>
    </w:p>
    <w:p w14:paraId="0A72D054" w14:textId="77777777" w:rsidR="00323919" w:rsidRPr="009C679F" w:rsidRDefault="00323919" w:rsidP="00D06B6E">
      <w:pPr>
        <w:pStyle w:val="BodyText"/>
        <w:widowControl/>
        <w:rPr>
          <w:lang w:val="en-GB"/>
        </w:rPr>
      </w:pPr>
    </w:p>
    <w:p w14:paraId="71AEEC59" w14:textId="25B72DED" w:rsidR="00323919" w:rsidRPr="009C679F" w:rsidRDefault="00790126" w:rsidP="00D06B6E">
      <w:pPr>
        <w:pStyle w:val="BodyText"/>
        <w:widowControl/>
        <w:rPr>
          <w:lang w:val="en-GB"/>
        </w:rPr>
      </w:pPr>
      <w:r w:rsidRPr="009C679F">
        <w:rPr>
          <w:lang w:val="en-GB"/>
        </w:rPr>
        <w:t xml:space="preserve">Research on companies shall be carried out by the </w:t>
      </w:r>
      <w:r w:rsidR="00BD0A7E" w:rsidRPr="009C679F">
        <w:rPr>
          <w:lang w:val="en-GB"/>
        </w:rPr>
        <w:t>Investment Manager</w:t>
      </w:r>
      <w:r w:rsidRPr="009C679F">
        <w:rPr>
          <w:lang w:val="en-GB"/>
        </w:rPr>
        <w:t>. There will be a strong emphasis on under-researched small and mid</w:t>
      </w:r>
      <w:r w:rsidR="0068325B" w:rsidRPr="009C679F">
        <w:rPr>
          <w:lang w:val="en-GB"/>
        </w:rPr>
        <w:t>-</w:t>
      </w:r>
      <w:r w:rsidRPr="009C679F">
        <w:rPr>
          <w:lang w:val="en-GB"/>
        </w:rPr>
        <w:t>cap companies which are typically covered by one or two research houses. Small or mid</w:t>
      </w:r>
      <w:r w:rsidR="0068325B" w:rsidRPr="009C679F">
        <w:rPr>
          <w:lang w:val="en-GB"/>
        </w:rPr>
        <w:t>-</w:t>
      </w:r>
      <w:r w:rsidRPr="009C679F">
        <w:rPr>
          <w:lang w:val="en-GB"/>
        </w:rPr>
        <w:t>cap</w:t>
      </w:r>
      <w:r w:rsidR="0068325B" w:rsidRPr="009C679F">
        <w:rPr>
          <w:lang w:val="en-GB"/>
        </w:rPr>
        <w:t xml:space="preserve"> </w:t>
      </w:r>
      <w:r w:rsidRPr="009C679F">
        <w:rPr>
          <w:lang w:val="en-GB"/>
        </w:rPr>
        <w:t>sized companies, outside the radar of big investors, with limited analyst coverage create better investment opportunities and these companies are subject to greater inefficiencies or mispricings, which could lead to opportunities for the Fund. When such small and mid</w:t>
      </w:r>
      <w:r w:rsidR="0068325B" w:rsidRPr="009C679F">
        <w:rPr>
          <w:lang w:val="en-GB"/>
        </w:rPr>
        <w:t>-</w:t>
      </w:r>
      <w:r w:rsidRPr="009C679F">
        <w:rPr>
          <w:lang w:val="en-GB"/>
        </w:rPr>
        <w:t xml:space="preserve"> cap companies have limited analyst coverage, they tend then not to be priced correctly in the market place. To ascertain their true market value would require bottom up research and understanding the fundamentals. Generally, as these companies become better known and better analysed, the market place will reflect the true market value more accurately. The holding period in this type of investments can vary from a few months to several years. The </w:t>
      </w:r>
      <w:r w:rsidR="00BD0A7E" w:rsidRPr="009C679F">
        <w:rPr>
          <w:lang w:val="en-GB"/>
        </w:rPr>
        <w:t>Investment Manager</w:t>
      </w:r>
      <w:r w:rsidRPr="009C679F">
        <w:rPr>
          <w:lang w:val="en-GB"/>
        </w:rPr>
        <w:t>, with combined portfolio managers’ experience of 40 years in dealing within the Asian markets, will conduct company visits to the small and mid</w:t>
      </w:r>
      <w:r w:rsidR="0068325B" w:rsidRPr="009C679F">
        <w:rPr>
          <w:lang w:val="en-GB"/>
        </w:rPr>
        <w:t>-</w:t>
      </w:r>
      <w:r w:rsidRPr="009C679F">
        <w:rPr>
          <w:lang w:val="en-GB"/>
        </w:rPr>
        <w:t>cap companies, checking with industry contacts, reviewing the balance sheets, profit and loss statements and cash generating ability.</w:t>
      </w:r>
    </w:p>
    <w:p w14:paraId="1B46DF91" w14:textId="77777777" w:rsidR="000F6218" w:rsidRPr="009C679F" w:rsidRDefault="000F6218" w:rsidP="00D06B6E">
      <w:pPr>
        <w:pStyle w:val="BodyText"/>
        <w:widowControl/>
        <w:rPr>
          <w:lang w:val="en-GB"/>
        </w:rPr>
      </w:pPr>
    </w:p>
    <w:p w14:paraId="52F39297" w14:textId="739A4F07" w:rsidR="00323919" w:rsidRPr="009C679F" w:rsidRDefault="00790126" w:rsidP="00D06B6E">
      <w:pPr>
        <w:pStyle w:val="BodyText"/>
        <w:widowControl/>
        <w:rPr>
          <w:lang w:val="en-GB"/>
        </w:rPr>
      </w:pPr>
      <w:r w:rsidRPr="009C679F">
        <w:rPr>
          <w:lang w:val="en-GB"/>
        </w:rPr>
        <w:lastRenderedPageBreak/>
        <w:t xml:space="preserve">Value is essential, whether measured by financial ratios such as price, profitability, growth or other relative ratios, such as historical and peer valuations. Besides low absolute valuation the </w:t>
      </w:r>
      <w:r w:rsidR="00BD0A7E" w:rsidRPr="009C679F">
        <w:rPr>
          <w:lang w:val="en-GB"/>
        </w:rPr>
        <w:t>Investment Manager</w:t>
      </w:r>
      <w:r w:rsidRPr="009C679F">
        <w:rPr>
          <w:lang w:val="en-GB"/>
        </w:rPr>
        <w:t xml:space="preserve"> will look to demand an attractive business model and an excellent management in any company in which i</w:t>
      </w:r>
      <w:r w:rsidR="00026A97" w:rsidRPr="009C679F">
        <w:rPr>
          <w:lang w:val="en-GB"/>
        </w:rPr>
        <w:t>t considers investing</w:t>
      </w:r>
      <w:r w:rsidRPr="009C679F">
        <w:rPr>
          <w:lang w:val="en-GB"/>
        </w:rPr>
        <w:t xml:space="preserve">. The </w:t>
      </w:r>
      <w:r w:rsidR="00BD0A7E" w:rsidRPr="009C679F">
        <w:rPr>
          <w:lang w:val="en-GB"/>
        </w:rPr>
        <w:t>Investment Manager</w:t>
      </w:r>
      <w:r w:rsidRPr="009C679F">
        <w:rPr>
          <w:lang w:val="en-GB"/>
        </w:rPr>
        <w:t xml:space="preserve"> will have a preference for companies in which management interests are aligned with investors, for example, where management are also shareholders in the company.</w:t>
      </w:r>
    </w:p>
    <w:p w14:paraId="654B8F1C" w14:textId="77777777" w:rsidR="00323919" w:rsidRPr="009C679F" w:rsidRDefault="00323919" w:rsidP="00D06B6E">
      <w:pPr>
        <w:pStyle w:val="BodyText"/>
        <w:widowControl/>
        <w:rPr>
          <w:lang w:val="en-GB"/>
        </w:rPr>
      </w:pPr>
    </w:p>
    <w:p w14:paraId="7A20A56E" w14:textId="5A16A48A" w:rsidR="00323919" w:rsidRPr="009C679F" w:rsidRDefault="00790126" w:rsidP="00D06B6E">
      <w:pPr>
        <w:pStyle w:val="BodyText"/>
        <w:widowControl/>
        <w:rPr>
          <w:lang w:val="en-GB"/>
        </w:rPr>
      </w:pPr>
      <w:r w:rsidRPr="009C679F">
        <w:rPr>
          <w:lang w:val="en-GB"/>
        </w:rPr>
        <w:t xml:space="preserve">The </w:t>
      </w:r>
      <w:r w:rsidR="00BD0A7E" w:rsidRPr="009C679F">
        <w:rPr>
          <w:lang w:val="en-GB"/>
        </w:rPr>
        <w:t>Investment Manager</w:t>
      </w:r>
      <w:r w:rsidRPr="009C679F">
        <w:rPr>
          <w:lang w:val="en-GB"/>
        </w:rPr>
        <w:t xml:space="preserve"> will focus on appreciating the microeconomic situation and how this affect</w:t>
      </w:r>
      <w:r w:rsidR="00026A97" w:rsidRPr="009C679F">
        <w:rPr>
          <w:lang w:val="en-GB"/>
        </w:rPr>
        <w:t>s</w:t>
      </w:r>
      <w:r w:rsidRPr="009C679F">
        <w:rPr>
          <w:lang w:val="en-GB"/>
        </w:rPr>
        <w:t xml:space="preserve"> the pricing of under researched small and </w:t>
      </w:r>
      <w:r w:rsidR="0068325B" w:rsidRPr="009C679F">
        <w:rPr>
          <w:lang w:val="en-GB"/>
        </w:rPr>
        <w:t>mid-cap</w:t>
      </w:r>
      <w:r w:rsidRPr="009C679F">
        <w:rPr>
          <w:lang w:val="en-GB"/>
        </w:rPr>
        <w:t xml:space="preserve"> companies through spending a significant </w:t>
      </w:r>
      <w:r w:rsidR="00026A97" w:rsidRPr="009C679F">
        <w:rPr>
          <w:lang w:val="en-GB"/>
        </w:rPr>
        <w:t xml:space="preserve">amount </w:t>
      </w:r>
      <w:r w:rsidRPr="009C679F">
        <w:rPr>
          <w:lang w:val="en-GB"/>
        </w:rPr>
        <w:t xml:space="preserve">of time understanding the specific investment attraction of the asset or company. The </w:t>
      </w:r>
      <w:r w:rsidR="00BD0A7E" w:rsidRPr="009C679F">
        <w:rPr>
          <w:lang w:val="en-GB"/>
        </w:rPr>
        <w:t>Investment Manager</w:t>
      </w:r>
      <w:r w:rsidRPr="009C679F">
        <w:rPr>
          <w:lang w:val="en-GB"/>
        </w:rPr>
        <w:t xml:space="preserve">’s team’s independent thinking and investment approach creates a portfolio without regard to peer positioning or benchmark weightings. The key edge is the team’s skill set in identifying and selecting companies from extensive region-wide investment experience and a substantial network of contacts. The </w:t>
      </w:r>
      <w:r w:rsidR="00BD0A7E" w:rsidRPr="009C679F">
        <w:rPr>
          <w:lang w:val="en-GB"/>
        </w:rPr>
        <w:t>Investment Manager</w:t>
      </w:r>
      <w:r w:rsidRPr="009C679F">
        <w:rPr>
          <w:lang w:val="en-GB"/>
        </w:rPr>
        <w:t xml:space="preserve"> will</w:t>
      </w:r>
      <w:r w:rsidR="00026A97" w:rsidRPr="009C679F">
        <w:rPr>
          <w:lang w:val="en-GB"/>
        </w:rPr>
        <w:t>,</w:t>
      </w:r>
      <w:r w:rsidRPr="009C679F">
        <w:rPr>
          <w:lang w:val="en-GB"/>
        </w:rPr>
        <w:t xml:space="preserve"> based on the foregoing process</w:t>
      </w:r>
      <w:r w:rsidR="00A87E3D" w:rsidRPr="009C679F">
        <w:rPr>
          <w:lang w:val="en-GB"/>
        </w:rPr>
        <w:t>,</w:t>
      </w:r>
      <w:r w:rsidRPr="009C679F">
        <w:rPr>
          <w:lang w:val="en-GB"/>
        </w:rPr>
        <w:t xml:space="preserve"> decide </w:t>
      </w:r>
      <w:r w:rsidR="00A87E3D" w:rsidRPr="009C679F">
        <w:rPr>
          <w:lang w:val="en-GB"/>
        </w:rPr>
        <w:t xml:space="preserve">if it will invest into </w:t>
      </w:r>
      <w:r w:rsidRPr="009C679F">
        <w:rPr>
          <w:lang w:val="en-GB"/>
        </w:rPr>
        <w:t>any</w:t>
      </w:r>
      <w:r w:rsidR="00A87E3D" w:rsidRPr="009C679F">
        <w:rPr>
          <w:lang w:val="en-GB"/>
        </w:rPr>
        <w:t xml:space="preserve"> of</w:t>
      </w:r>
      <w:r w:rsidRPr="009C679F">
        <w:rPr>
          <w:lang w:val="en-GB"/>
        </w:rPr>
        <w:t xml:space="preserve"> </w:t>
      </w:r>
      <w:r w:rsidR="00A87E3D" w:rsidRPr="009C679F">
        <w:rPr>
          <w:lang w:val="en-GB"/>
        </w:rPr>
        <w:t xml:space="preserve">the </w:t>
      </w:r>
      <w:r w:rsidRPr="009C679F">
        <w:rPr>
          <w:lang w:val="en-GB"/>
        </w:rPr>
        <w:t xml:space="preserve">companies </w:t>
      </w:r>
      <w:r w:rsidR="00A87E3D" w:rsidRPr="009C679F">
        <w:rPr>
          <w:lang w:val="en-GB"/>
        </w:rPr>
        <w:t>which it has researched on behalf of the Fund</w:t>
      </w:r>
      <w:r w:rsidRPr="009C679F">
        <w:rPr>
          <w:lang w:val="en-GB"/>
        </w:rPr>
        <w:t>.</w:t>
      </w:r>
    </w:p>
    <w:p w14:paraId="31B317B4" w14:textId="3EA11880" w:rsidR="006D1D33" w:rsidRPr="009C679F" w:rsidRDefault="006D1D33" w:rsidP="00D06B6E">
      <w:pPr>
        <w:pStyle w:val="BodyText"/>
        <w:widowControl/>
        <w:rPr>
          <w:lang w:val="en-GB"/>
        </w:rPr>
      </w:pPr>
    </w:p>
    <w:p w14:paraId="7C701E29" w14:textId="77777777" w:rsidR="006D1D33" w:rsidRPr="009C679F" w:rsidRDefault="006D1D33" w:rsidP="00D06B6E">
      <w:pPr>
        <w:pStyle w:val="Heading1"/>
        <w:widowControl/>
      </w:pPr>
      <w:bookmarkStart w:id="9" w:name="_Toc173750977"/>
      <w:r w:rsidRPr="009C679F">
        <w:t>Sustainable Finance Disclosure Regulation</w:t>
      </w:r>
      <w:bookmarkEnd w:id="9"/>
    </w:p>
    <w:p w14:paraId="74421702" w14:textId="77777777" w:rsidR="006D1D33" w:rsidRPr="009C679F" w:rsidRDefault="006D1D33" w:rsidP="00D06B6E">
      <w:pPr>
        <w:pStyle w:val="BodyText"/>
        <w:widowControl/>
        <w:rPr>
          <w:lang w:val="en-GB"/>
        </w:rPr>
      </w:pPr>
    </w:p>
    <w:p w14:paraId="0CB9E6C0" w14:textId="79C30FD3" w:rsidR="00701454" w:rsidRPr="009C679F" w:rsidRDefault="006D1D33" w:rsidP="00D06B6E">
      <w:pPr>
        <w:pStyle w:val="BodyText"/>
        <w:widowControl/>
        <w:rPr>
          <w:lang w:val="en-GB"/>
        </w:rPr>
      </w:pPr>
      <w:r w:rsidRPr="009C679F">
        <w:rPr>
          <w:lang w:val="en-GB"/>
        </w:rPr>
        <w:t>The Investment Manager has a risk management process that identifies events and conditions that could cause a material negative impact on the v</w:t>
      </w:r>
      <w:r w:rsidR="000F6218" w:rsidRPr="009C679F">
        <w:rPr>
          <w:lang w:val="en-GB"/>
        </w:rPr>
        <w:t xml:space="preserve">alue of the Fund’s investments. </w:t>
      </w:r>
      <w:r w:rsidRPr="009C679F">
        <w:rPr>
          <w:lang w:val="en-GB"/>
        </w:rPr>
        <w:t xml:space="preserve"> Our investment management approach takes account of identified risks and seeks t</w:t>
      </w:r>
      <w:r w:rsidR="000F6218" w:rsidRPr="009C679F">
        <w:rPr>
          <w:lang w:val="en-GB"/>
        </w:rPr>
        <w:t xml:space="preserve">o minimise and mitigate them. </w:t>
      </w:r>
      <w:r w:rsidRPr="009C679F">
        <w:rPr>
          <w:lang w:val="en-GB"/>
        </w:rPr>
        <w:t xml:space="preserve"> This may include the identification and manag</w:t>
      </w:r>
      <w:r w:rsidR="000F6218" w:rsidRPr="009C679F">
        <w:rPr>
          <w:lang w:val="en-GB"/>
        </w:rPr>
        <w:t xml:space="preserve">ement of sustainability risks.  </w:t>
      </w:r>
      <w:r w:rsidRPr="009C679F">
        <w:rPr>
          <w:lang w:val="en-GB"/>
        </w:rPr>
        <w:t>However, at this time, our risk management process does not formally and explicitly integrate sustainability risk management.</w:t>
      </w:r>
      <w:r w:rsidR="00701454" w:rsidRPr="009C679F">
        <w:rPr>
          <w:lang w:val="en-GB"/>
        </w:rPr>
        <w:t xml:space="preserve"> </w:t>
      </w:r>
    </w:p>
    <w:p w14:paraId="32BF4EB4" w14:textId="77777777" w:rsidR="00701454" w:rsidRPr="009C679F" w:rsidRDefault="00701454" w:rsidP="00D06B6E">
      <w:pPr>
        <w:widowControl/>
        <w:rPr>
          <w:lang w:val="en-GB"/>
        </w:rPr>
      </w:pPr>
    </w:p>
    <w:p w14:paraId="26799B58" w14:textId="51D104E4" w:rsidR="006D1D33" w:rsidRPr="009C679F" w:rsidRDefault="00701454" w:rsidP="00D06B6E">
      <w:pPr>
        <w:pStyle w:val="BodyText"/>
        <w:widowControl/>
        <w:rPr>
          <w:color w:val="000000"/>
          <w:lang w:val="en-GB"/>
        </w:rPr>
      </w:pPr>
      <w:r w:rsidRPr="009C679F">
        <w:rPr>
          <w:lang w:val="en-GB"/>
        </w:rPr>
        <w:t>In addition to the matters set out above, the provisions of Regulation (EU) 2019/2088 on sustainability-related disclosures in the financial services sector, as amended by Regulation (EU) 2020/852 on the Establishment of a Framework to Facilitate Sustainable Investment (the “</w:t>
      </w:r>
      <w:r w:rsidRPr="009C679F">
        <w:rPr>
          <w:b/>
          <w:lang w:val="en-GB"/>
        </w:rPr>
        <w:t>Taxonomy Regulation</w:t>
      </w:r>
      <w:r w:rsidRPr="009C679F">
        <w:rPr>
          <w:lang w:val="en-GB"/>
        </w:rPr>
        <w:t>”), introduce a requirement to disclose whether and, if so, to what extent the Fund's investments are aligned with the Taxonomy Regulation. Accordingly, at the date of this Supplement, the investments underlying the Fund do not take into account the EU criteria for environmentally sustainable economic activities.</w:t>
      </w:r>
    </w:p>
    <w:p w14:paraId="4535C49C" w14:textId="77777777" w:rsidR="006D1D33" w:rsidRPr="009C679F" w:rsidRDefault="006D1D33" w:rsidP="00D06B6E">
      <w:pPr>
        <w:pStyle w:val="BodyText"/>
        <w:widowControl/>
        <w:rPr>
          <w:lang w:val="en-GB"/>
        </w:rPr>
      </w:pPr>
    </w:p>
    <w:p w14:paraId="51776F43" w14:textId="77777777" w:rsidR="00323919" w:rsidRPr="009C679F" w:rsidRDefault="00790126" w:rsidP="00D06B6E">
      <w:pPr>
        <w:pStyle w:val="Heading1"/>
        <w:widowControl/>
      </w:pPr>
      <w:bookmarkStart w:id="10" w:name="_Toc173750978"/>
      <w:r w:rsidRPr="009C679F">
        <w:t>Financial Derivative Instruments</w:t>
      </w:r>
      <w:bookmarkEnd w:id="10"/>
    </w:p>
    <w:p w14:paraId="6DF43262" w14:textId="77777777" w:rsidR="00323919" w:rsidRPr="009C679F" w:rsidRDefault="00323919" w:rsidP="00D06B6E">
      <w:pPr>
        <w:pStyle w:val="BodyText"/>
        <w:widowControl/>
        <w:rPr>
          <w:lang w:val="en-GB"/>
        </w:rPr>
      </w:pPr>
    </w:p>
    <w:p w14:paraId="4C3DB9A9" w14:textId="77777777" w:rsidR="00323919" w:rsidRPr="009C679F" w:rsidRDefault="00790126" w:rsidP="00D06B6E">
      <w:pPr>
        <w:pStyle w:val="BodyText"/>
        <w:widowControl/>
        <w:rPr>
          <w:lang w:val="en-GB"/>
        </w:rPr>
      </w:pPr>
      <w:r w:rsidRPr="009C679F">
        <w:rPr>
          <w:lang w:val="en-GB"/>
        </w:rPr>
        <w:t>Except for the use of financial derivative instruments for currency hedging for certain Share Classes, the Fund will not use financial derivative instruments for either investment purposes, or efficient portfolio management. Further information is included below and in the Prospectus.</w:t>
      </w:r>
    </w:p>
    <w:p w14:paraId="77085D23" w14:textId="77777777" w:rsidR="00323919" w:rsidRPr="009C679F" w:rsidRDefault="00323919" w:rsidP="00D06B6E">
      <w:pPr>
        <w:pStyle w:val="BodyText"/>
        <w:widowControl/>
        <w:rPr>
          <w:lang w:val="en-GB"/>
        </w:rPr>
      </w:pPr>
    </w:p>
    <w:p w14:paraId="16E9F244" w14:textId="77777777" w:rsidR="00323919" w:rsidRPr="009C679F" w:rsidRDefault="00790126" w:rsidP="00D06B6E">
      <w:pPr>
        <w:pStyle w:val="Heading1"/>
        <w:widowControl/>
      </w:pPr>
      <w:bookmarkStart w:id="11" w:name="_Toc173750979"/>
      <w:r w:rsidRPr="009C679F">
        <w:t>Securities Financing Transactions and Total Return Swaps</w:t>
      </w:r>
      <w:bookmarkEnd w:id="11"/>
    </w:p>
    <w:p w14:paraId="27FFD992" w14:textId="77777777" w:rsidR="00323919" w:rsidRPr="009C679F" w:rsidRDefault="00323919" w:rsidP="00D06B6E">
      <w:pPr>
        <w:pStyle w:val="BodyText"/>
        <w:widowControl/>
        <w:rPr>
          <w:lang w:val="en-GB"/>
        </w:rPr>
      </w:pPr>
    </w:p>
    <w:p w14:paraId="1D4A78BA" w14:textId="77777777" w:rsidR="00323919" w:rsidRPr="009C679F" w:rsidRDefault="00790126" w:rsidP="00D06B6E">
      <w:pPr>
        <w:pStyle w:val="BodyText"/>
        <w:widowControl/>
        <w:rPr>
          <w:lang w:val="en-GB"/>
        </w:rPr>
      </w:pPr>
      <w:r w:rsidRPr="009C679F">
        <w:rPr>
          <w:lang w:val="en-GB"/>
        </w:rPr>
        <w:t>The Fund will not engage in Securities Financing Transactions or invest in total return swaps.</w:t>
      </w:r>
    </w:p>
    <w:p w14:paraId="4D06445F" w14:textId="77777777" w:rsidR="00323919" w:rsidRPr="009C679F" w:rsidRDefault="00323919" w:rsidP="00D06B6E">
      <w:pPr>
        <w:pStyle w:val="BodyText"/>
        <w:widowControl/>
        <w:rPr>
          <w:lang w:val="en-GB"/>
        </w:rPr>
      </w:pPr>
    </w:p>
    <w:p w14:paraId="0479D153" w14:textId="77777777" w:rsidR="00323919" w:rsidRPr="009C679F" w:rsidRDefault="00790126" w:rsidP="00D06B6E">
      <w:pPr>
        <w:pStyle w:val="ListParagraph"/>
        <w:widowControl/>
        <w:rPr>
          <w:lang w:val="en-GB"/>
        </w:rPr>
      </w:pPr>
      <w:bookmarkStart w:id="12" w:name="_bookmark1"/>
      <w:bookmarkStart w:id="13" w:name="_Toc98334821"/>
      <w:bookmarkStart w:id="14" w:name="_Toc172121748"/>
      <w:bookmarkEnd w:id="12"/>
      <w:r w:rsidRPr="009C679F">
        <w:rPr>
          <w:lang w:val="en-GB"/>
        </w:rPr>
        <w:t>BORROWING</w:t>
      </w:r>
      <w:bookmarkEnd w:id="13"/>
      <w:bookmarkEnd w:id="14"/>
    </w:p>
    <w:p w14:paraId="0E93575F" w14:textId="77777777" w:rsidR="00323919" w:rsidRPr="009C679F" w:rsidRDefault="00790126" w:rsidP="00D06B6E">
      <w:pPr>
        <w:pStyle w:val="BodyText"/>
        <w:widowControl/>
        <w:rPr>
          <w:lang w:val="en-GB"/>
        </w:rPr>
      </w:pPr>
      <w:r w:rsidRPr="009C679F">
        <w:rPr>
          <w:lang w:val="en-GB"/>
        </w:rPr>
        <w:t>In accordance with the general provisions set out in the Prospectus under the heading Borrowing and Lending Powers and Restrictions, the Fund may borrow up to 10% of its total Net Asset Value on a temporary basis and not for speculative purposes.</w:t>
      </w:r>
    </w:p>
    <w:p w14:paraId="458BA237" w14:textId="77777777" w:rsidR="00323919" w:rsidRPr="009C679F" w:rsidRDefault="00323919" w:rsidP="00D06B6E">
      <w:pPr>
        <w:pStyle w:val="BodyText"/>
        <w:widowControl/>
        <w:rPr>
          <w:lang w:val="en-GB"/>
        </w:rPr>
      </w:pPr>
    </w:p>
    <w:p w14:paraId="18DAF57E" w14:textId="77777777" w:rsidR="00323919" w:rsidRPr="009C679F" w:rsidRDefault="00790126" w:rsidP="00D06B6E">
      <w:pPr>
        <w:pStyle w:val="ListParagraph"/>
        <w:widowControl/>
        <w:rPr>
          <w:lang w:val="en-GB"/>
        </w:rPr>
      </w:pPr>
      <w:bookmarkStart w:id="15" w:name="_bookmark2"/>
      <w:bookmarkStart w:id="16" w:name="_Toc98334822"/>
      <w:bookmarkStart w:id="17" w:name="_Toc172121749"/>
      <w:bookmarkEnd w:id="15"/>
      <w:r w:rsidRPr="009C679F">
        <w:rPr>
          <w:lang w:val="en-GB"/>
        </w:rPr>
        <w:t>LEVERAGE AND GLOBAL EXPOSURE</w:t>
      </w:r>
      <w:bookmarkEnd w:id="16"/>
      <w:bookmarkEnd w:id="17"/>
    </w:p>
    <w:p w14:paraId="1F6CB967" w14:textId="77777777" w:rsidR="00323919" w:rsidRPr="009C679F" w:rsidRDefault="00790126" w:rsidP="00D06B6E">
      <w:pPr>
        <w:pStyle w:val="BodyText"/>
        <w:widowControl/>
        <w:rPr>
          <w:lang w:val="en-GB"/>
        </w:rPr>
      </w:pPr>
      <w:r w:rsidRPr="009C679F">
        <w:rPr>
          <w:lang w:val="en-GB"/>
        </w:rPr>
        <w:t>The Fund measures global exposure using the commitment approach method. Further information regarding leverage and global exposure is set out in the Prospectus.</w:t>
      </w:r>
    </w:p>
    <w:p w14:paraId="29115EA4" w14:textId="77777777" w:rsidR="00323919" w:rsidRPr="009C679F" w:rsidRDefault="00323919" w:rsidP="00D06B6E">
      <w:pPr>
        <w:pStyle w:val="BodyText"/>
        <w:widowControl/>
        <w:rPr>
          <w:lang w:val="en-GB"/>
        </w:rPr>
      </w:pPr>
    </w:p>
    <w:p w14:paraId="1A68723A" w14:textId="77777777" w:rsidR="00323919" w:rsidRPr="009C679F" w:rsidRDefault="00790126" w:rsidP="00D06B6E">
      <w:pPr>
        <w:pStyle w:val="BodyText"/>
        <w:widowControl/>
        <w:rPr>
          <w:lang w:val="en-GB"/>
        </w:rPr>
      </w:pPr>
      <w:r w:rsidRPr="009C679F">
        <w:rPr>
          <w:lang w:val="en-GB"/>
        </w:rPr>
        <w:t>The Fund’s expected gross level of leverage is not expected to exceed 100% of the Fund’s Net Asset Value. Whilst the Manager does not expect the level of leverage to exceed this level, leverage levels may vary and may exceed this figure under certain circumstances. Leverage is calculated using the sum of the notional values of all of the FDIs (for currency hedging for certain Share Classes) held by the Fund.</w:t>
      </w:r>
    </w:p>
    <w:p w14:paraId="33F2DAD6" w14:textId="77777777" w:rsidR="00323919" w:rsidRPr="009C679F" w:rsidRDefault="00323919" w:rsidP="00D06B6E">
      <w:pPr>
        <w:pStyle w:val="BodyText"/>
        <w:widowControl/>
        <w:rPr>
          <w:lang w:val="en-GB"/>
        </w:rPr>
      </w:pPr>
    </w:p>
    <w:p w14:paraId="06C20D53" w14:textId="77777777" w:rsidR="00323919" w:rsidRPr="009C679F" w:rsidRDefault="00790126" w:rsidP="00D06B6E">
      <w:pPr>
        <w:pStyle w:val="ListParagraph"/>
        <w:widowControl/>
        <w:rPr>
          <w:lang w:val="en-GB"/>
        </w:rPr>
      </w:pPr>
      <w:bookmarkStart w:id="18" w:name="_bookmark3"/>
      <w:bookmarkStart w:id="19" w:name="_Toc98334823"/>
      <w:bookmarkStart w:id="20" w:name="_Toc172121750"/>
      <w:bookmarkEnd w:id="18"/>
      <w:r w:rsidRPr="009C679F">
        <w:rPr>
          <w:lang w:val="en-GB"/>
        </w:rPr>
        <w:t>INVESTMENT RESTRICTIONS</w:t>
      </w:r>
      <w:bookmarkEnd w:id="19"/>
      <w:bookmarkEnd w:id="20"/>
    </w:p>
    <w:p w14:paraId="75900596" w14:textId="77777777" w:rsidR="00323919" w:rsidRPr="009C679F" w:rsidRDefault="00790126" w:rsidP="00D06B6E">
      <w:pPr>
        <w:pStyle w:val="BodyText"/>
        <w:widowControl/>
        <w:rPr>
          <w:lang w:val="en-GB"/>
        </w:rPr>
      </w:pPr>
      <w:r w:rsidRPr="009C679F">
        <w:rPr>
          <w:lang w:val="en-GB"/>
        </w:rPr>
        <w:t xml:space="preserve">The investment restrictions applicable to the Fund are set out under the section entitled </w:t>
      </w:r>
      <w:r w:rsidRPr="009C679F">
        <w:rPr>
          <w:b/>
          <w:lang w:val="en-GB"/>
        </w:rPr>
        <w:t xml:space="preserve">Investment Restrictions </w:t>
      </w:r>
      <w:r w:rsidRPr="009C679F">
        <w:rPr>
          <w:lang w:val="en-GB"/>
        </w:rPr>
        <w:t>in the Prospectus. In addition, the Fund may not invest more than 10% of its assets under management in collective investment schemes.</w:t>
      </w:r>
    </w:p>
    <w:p w14:paraId="31333B83" w14:textId="77777777" w:rsidR="00323919" w:rsidRPr="009C679F" w:rsidRDefault="00323919" w:rsidP="00D06B6E">
      <w:pPr>
        <w:pStyle w:val="BodyText"/>
        <w:widowControl/>
        <w:rPr>
          <w:lang w:val="en-GB"/>
        </w:rPr>
      </w:pPr>
    </w:p>
    <w:p w14:paraId="157ED959" w14:textId="274A0048" w:rsidR="00323919" w:rsidRPr="009C679F" w:rsidRDefault="00BD0A7E" w:rsidP="00D06B6E">
      <w:pPr>
        <w:pStyle w:val="ListParagraph"/>
        <w:widowControl/>
        <w:rPr>
          <w:lang w:val="en-GB"/>
        </w:rPr>
      </w:pPr>
      <w:bookmarkStart w:id="21" w:name="_bookmark4"/>
      <w:bookmarkStart w:id="22" w:name="_Toc98334824"/>
      <w:bookmarkStart w:id="23" w:name="_Toc172121751"/>
      <w:bookmarkEnd w:id="21"/>
      <w:r w:rsidRPr="009C679F">
        <w:rPr>
          <w:lang w:val="en-GB"/>
        </w:rPr>
        <w:lastRenderedPageBreak/>
        <w:t>INVESTMENT MANAGER</w:t>
      </w:r>
      <w:bookmarkEnd w:id="22"/>
      <w:bookmarkEnd w:id="23"/>
    </w:p>
    <w:p w14:paraId="3F64AE6D" w14:textId="77777777" w:rsidR="002128AF" w:rsidRPr="009C679F" w:rsidRDefault="002128AF" w:rsidP="002128AF">
      <w:pPr>
        <w:pStyle w:val="BodyText"/>
        <w:widowControl/>
        <w:rPr>
          <w:lang w:val="en-GB"/>
        </w:rPr>
      </w:pPr>
      <w:r w:rsidRPr="009C679F">
        <w:rPr>
          <w:lang w:val="en-GB"/>
        </w:rPr>
        <w:t>The Manager may, with prior approval from the Central Bank, delegate its functions to third parties.</w:t>
      </w:r>
    </w:p>
    <w:p w14:paraId="23776232" w14:textId="77777777" w:rsidR="002128AF" w:rsidRPr="009C679F" w:rsidRDefault="002128AF" w:rsidP="002128AF">
      <w:pPr>
        <w:pStyle w:val="BodyText"/>
        <w:widowControl/>
        <w:rPr>
          <w:lang w:val="en-GB"/>
        </w:rPr>
      </w:pPr>
    </w:p>
    <w:p w14:paraId="0FD76F57" w14:textId="42ACD70A" w:rsidR="00F63C21" w:rsidRPr="009C679F" w:rsidRDefault="002128AF" w:rsidP="002128AF">
      <w:pPr>
        <w:pStyle w:val="BodyText"/>
        <w:widowControl/>
        <w:rPr>
          <w:lang w:val="en-GB"/>
        </w:rPr>
      </w:pPr>
      <w:r w:rsidRPr="009C679F">
        <w:rPr>
          <w:lang w:val="en-GB"/>
        </w:rPr>
        <w:t xml:space="preserve">The Manager has appointed Nanjia Capital Limited as Investment Manager of the Fund. Under the terms of the Investment Management and Distribution Agreement, the Investment Manager is responsible, subject to the overall supervision and control of the Manager, for managing the assets and investments of the ICAV in accordance with the investment objective and policies of each Fund. The fees of the Investment Manager are payable by the Fund and are set out later in this document. Nanjia Capital Limited is regulated and authorised in Hong Kong by the Securities and Futures </w:t>
      </w:r>
      <w:r w:rsidR="00F318CD" w:rsidRPr="005D0221">
        <w:rPr>
          <w:lang w:val="en-GB"/>
        </w:rPr>
        <w:t xml:space="preserve">Commission </w:t>
      </w:r>
      <w:r w:rsidR="00F318CD" w:rsidRPr="0074751A">
        <w:rPr>
          <w:lang w:val="en-GB"/>
        </w:rPr>
        <w:t>(“</w:t>
      </w:r>
      <w:r w:rsidR="00F318CD" w:rsidRPr="0074751A">
        <w:rPr>
          <w:b/>
          <w:bCs/>
          <w:lang w:val="en-GB"/>
        </w:rPr>
        <w:t>SFC</w:t>
      </w:r>
      <w:r w:rsidR="00F318CD" w:rsidRPr="0074751A">
        <w:rPr>
          <w:lang w:val="en-GB"/>
        </w:rPr>
        <w:t xml:space="preserve">”) </w:t>
      </w:r>
      <w:r w:rsidR="00F318CD" w:rsidRPr="005D0221">
        <w:rPr>
          <w:lang w:val="en-GB"/>
        </w:rPr>
        <w:t xml:space="preserve">to undertake Type </w:t>
      </w:r>
      <w:r w:rsidR="00F318CD" w:rsidRPr="0074751A">
        <w:rPr>
          <w:lang w:val="en-GB"/>
        </w:rPr>
        <w:t xml:space="preserve">1 (dealing in securities) and Type </w:t>
      </w:r>
      <w:r w:rsidR="00F318CD" w:rsidRPr="005D0221">
        <w:rPr>
          <w:lang w:val="en-GB"/>
        </w:rPr>
        <w:t>9 (asset management) regulated activit</w:t>
      </w:r>
      <w:r w:rsidR="00F318CD" w:rsidRPr="0074751A">
        <w:rPr>
          <w:lang w:val="en-GB"/>
        </w:rPr>
        <w:t>ies</w:t>
      </w:r>
      <w:r w:rsidR="00F318CD" w:rsidRPr="005D0221">
        <w:rPr>
          <w:lang w:val="en-GB"/>
        </w:rPr>
        <w:t xml:space="preserve"> under the conditions that </w:t>
      </w:r>
      <w:r w:rsidR="00F318CD" w:rsidRPr="0074751A">
        <w:rPr>
          <w:lang w:val="en-GB"/>
        </w:rPr>
        <w:t xml:space="preserve">(i) </w:t>
      </w:r>
      <w:r w:rsidR="00F318CD" w:rsidRPr="005D0221">
        <w:rPr>
          <w:lang w:val="en-GB"/>
        </w:rPr>
        <w:t>it shall only provide services to professional investors (as defined in the Hong Kong Securities and Futures Ordinance (Cap 571) (“</w:t>
      </w:r>
      <w:r w:rsidR="00F318CD" w:rsidRPr="005D0221">
        <w:rPr>
          <w:b/>
          <w:lang w:val="en-GB"/>
        </w:rPr>
        <w:t>SFO</w:t>
      </w:r>
      <w:r w:rsidR="00F318CD" w:rsidRPr="005D0221">
        <w:rPr>
          <w:lang w:val="en-GB"/>
        </w:rPr>
        <w:t>”) and its subsidiary legislation</w:t>
      </w:r>
      <w:r w:rsidR="00F318CD" w:rsidRPr="0074751A">
        <w:rPr>
          <w:lang w:val="en-GB"/>
        </w:rPr>
        <w:t>), (ii)</w:t>
      </w:r>
      <w:r w:rsidR="00F318CD" w:rsidRPr="005D0221">
        <w:rPr>
          <w:lang w:val="en-GB"/>
        </w:rPr>
        <w:t xml:space="preserve"> it shall not hold client assets (the terms “hold” and “client assets” as defined under the SFO</w:t>
      </w:r>
      <w:r w:rsidR="00F318CD" w:rsidRPr="0074751A">
        <w:rPr>
          <w:lang w:val="en-GB"/>
        </w:rPr>
        <w:t>), and (iii) for Type 1 regulated activity, it only communicates offers to effect dealing in securities or makes offers to deal in securities through another intermediary or financial institution that is licensed and/or registered with the SFC for Type 1 regulated activity, or authorities or organizations that perform similar functions and/or regulate banking or other financial services</w:t>
      </w:r>
      <w:r w:rsidRPr="009C679F">
        <w:rPr>
          <w:lang w:val="en-GB"/>
        </w:rPr>
        <w:t>.</w:t>
      </w:r>
    </w:p>
    <w:p w14:paraId="1FECA1CF" w14:textId="77777777" w:rsidR="002128AF" w:rsidRPr="009C679F" w:rsidRDefault="002128AF" w:rsidP="002128AF">
      <w:pPr>
        <w:pStyle w:val="BodyText"/>
        <w:widowControl/>
        <w:rPr>
          <w:lang w:val="en-GB"/>
        </w:rPr>
      </w:pPr>
    </w:p>
    <w:p w14:paraId="282A59B3" w14:textId="77777777" w:rsidR="00323919" w:rsidRPr="009C679F" w:rsidRDefault="00790126" w:rsidP="00D06B6E">
      <w:pPr>
        <w:pStyle w:val="ListParagraph"/>
        <w:widowControl/>
        <w:rPr>
          <w:lang w:val="en-GB"/>
        </w:rPr>
      </w:pPr>
      <w:bookmarkStart w:id="24" w:name="_bookmark5"/>
      <w:bookmarkStart w:id="25" w:name="_Toc98334825"/>
      <w:bookmarkStart w:id="26" w:name="_Toc172121752"/>
      <w:bookmarkEnd w:id="24"/>
      <w:r w:rsidRPr="009C679F">
        <w:rPr>
          <w:lang w:val="en-GB"/>
        </w:rPr>
        <w:t>RISK FACTORS</w:t>
      </w:r>
      <w:bookmarkEnd w:id="25"/>
      <w:bookmarkEnd w:id="26"/>
    </w:p>
    <w:p w14:paraId="0FCC968F" w14:textId="77777777" w:rsidR="00323919" w:rsidRPr="009C679F" w:rsidRDefault="00790126" w:rsidP="00D06B6E">
      <w:pPr>
        <w:pStyle w:val="BodyText"/>
        <w:widowControl/>
        <w:rPr>
          <w:lang w:val="en-GB"/>
        </w:rPr>
      </w:pPr>
      <w:r w:rsidRPr="009C679F">
        <w:rPr>
          <w:lang w:val="en-GB"/>
        </w:rPr>
        <w:t xml:space="preserve">The risk factors under the section entitled </w:t>
      </w:r>
      <w:r w:rsidRPr="009C679F">
        <w:rPr>
          <w:b/>
          <w:lang w:val="en-GB"/>
        </w:rPr>
        <w:t xml:space="preserve">Risk Factors </w:t>
      </w:r>
      <w:r w:rsidRPr="009C679F">
        <w:rPr>
          <w:lang w:val="en-GB"/>
        </w:rPr>
        <w:t>in the Prospectus apply to this Fund. Prospective investors should review these carefully and raise any questions they have with their advisers.</w:t>
      </w:r>
    </w:p>
    <w:p w14:paraId="36B892FD" w14:textId="77777777" w:rsidR="00323919" w:rsidRPr="009C679F" w:rsidRDefault="00323919" w:rsidP="00D06B6E">
      <w:pPr>
        <w:pStyle w:val="BodyText"/>
        <w:widowControl/>
        <w:rPr>
          <w:lang w:val="en-GB"/>
        </w:rPr>
      </w:pPr>
    </w:p>
    <w:p w14:paraId="61EBBFBC" w14:textId="77777777" w:rsidR="00323919" w:rsidRPr="009C679F" w:rsidRDefault="00790126" w:rsidP="00D06B6E">
      <w:pPr>
        <w:pStyle w:val="BodyText"/>
        <w:widowControl/>
        <w:rPr>
          <w:lang w:val="en-GB"/>
        </w:rPr>
      </w:pPr>
      <w:r w:rsidRPr="009C679F">
        <w:rPr>
          <w:lang w:val="en-GB"/>
        </w:rPr>
        <w:t>Although this is not an exhaustive description of the risks which may apply to an investment in the Fund, prospective investors’ attention is particularly drawn to the following risks, set out in the Prospectus:</w:t>
      </w:r>
    </w:p>
    <w:p w14:paraId="2C27889B" w14:textId="77777777" w:rsidR="00323919" w:rsidRPr="009C679F" w:rsidRDefault="00323919" w:rsidP="00D06B6E">
      <w:pPr>
        <w:pStyle w:val="BodyText"/>
        <w:widowControl/>
        <w:rPr>
          <w:lang w:val="en-GB"/>
        </w:rPr>
      </w:pPr>
    </w:p>
    <w:p w14:paraId="1C750EFC" w14:textId="77777777" w:rsidR="000F6218" w:rsidRPr="009C679F" w:rsidRDefault="00790126" w:rsidP="00D06B6E">
      <w:pPr>
        <w:pStyle w:val="BodyText"/>
        <w:widowControl/>
        <w:numPr>
          <w:ilvl w:val="0"/>
          <w:numId w:val="6"/>
        </w:numPr>
        <w:ind w:left="1134" w:hanging="567"/>
        <w:rPr>
          <w:lang w:val="en-GB"/>
        </w:rPr>
      </w:pPr>
      <w:r w:rsidRPr="009C679F">
        <w:rPr>
          <w:lang w:val="en-GB"/>
        </w:rPr>
        <w:t xml:space="preserve">Investment risk </w:t>
      </w:r>
    </w:p>
    <w:p w14:paraId="03B07F13" w14:textId="51CCA500" w:rsidR="00323919" w:rsidRPr="009C679F" w:rsidRDefault="00790126" w:rsidP="00D06B6E">
      <w:pPr>
        <w:pStyle w:val="BodyText"/>
        <w:widowControl/>
        <w:numPr>
          <w:ilvl w:val="0"/>
          <w:numId w:val="6"/>
        </w:numPr>
        <w:ind w:left="1134" w:hanging="567"/>
        <w:rPr>
          <w:lang w:val="en-GB"/>
        </w:rPr>
      </w:pPr>
      <w:r w:rsidRPr="009C679F">
        <w:rPr>
          <w:lang w:val="en-GB"/>
        </w:rPr>
        <w:t>Market risk</w:t>
      </w:r>
    </w:p>
    <w:p w14:paraId="7E0783D3" w14:textId="77777777" w:rsidR="000F6218" w:rsidRPr="009C679F" w:rsidRDefault="00790126" w:rsidP="00D06B6E">
      <w:pPr>
        <w:pStyle w:val="BodyText"/>
        <w:widowControl/>
        <w:numPr>
          <w:ilvl w:val="0"/>
          <w:numId w:val="6"/>
        </w:numPr>
        <w:ind w:left="1134" w:hanging="567"/>
        <w:rPr>
          <w:lang w:val="en-GB"/>
        </w:rPr>
      </w:pPr>
      <w:r w:rsidRPr="009C679F">
        <w:rPr>
          <w:lang w:val="en-GB"/>
        </w:rPr>
        <w:t xml:space="preserve">Concentrated portfolio risk </w:t>
      </w:r>
    </w:p>
    <w:p w14:paraId="10AE3983" w14:textId="77777777" w:rsidR="000F6218" w:rsidRPr="009C679F" w:rsidRDefault="00790126" w:rsidP="00D06B6E">
      <w:pPr>
        <w:pStyle w:val="BodyText"/>
        <w:widowControl/>
        <w:numPr>
          <w:ilvl w:val="0"/>
          <w:numId w:val="6"/>
        </w:numPr>
        <w:ind w:left="1134" w:hanging="567"/>
        <w:rPr>
          <w:lang w:val="en-GB"/>
        </w:rPr>
      </w:pPr>
      <w:r w:rsidRPr="009C679F">
        <w:rPr>
          <w:lang w:val="en-GB"/>
        </w:rPr>
        <w:t xml:space="preserve">Equity markets risk </w:t>
      </w:r>
    </w:p>
    <w:p w14:paraId="02673EF3" w14:textId="77777777" w:rsidR="000F6218" w:rsidRPr="009C679F" w:rsidRDefault="00790126" w:rsidP="00D06B6E">
      <w:pPr>
        <w:pStyle w:val="BodyText"/>
        <w:widowControl/>
        <w:numPr>
          <w:ilvl w:val="0"/>
          <w:numId w:val="6"/>
        </w:numPr>
        <w:ind w:left="1134" w:hanging="567"/>
        <w:rPr>
          <w:lang w:val="en-GB"/>
        </w:rPr>
      </w:pPr>
      <w:r w:rsidRPr="009C679F">
        <w:rPr>
          <w:lang w:val="en-GB"/>
        </w:rPr>
        <w:t xml:space="preserve">Portfolio currency risk </w:t>
      </w:r>
    </w:p>
    <w:p w14:paraId="7C157B04" w14:textId="77777777" w:rsidR="000F6218" w:rsidRPr="009C679F" w:rsidRDefault="00790126" w:rsidP="00D06B6E">
      <w:pPr>
        <w:pStyle w:val="BodyText"/>
        <w:widowControl/>
        <w:numPr>
          <w:ilvl w:val="0"/>
          <w:numId w:val="6"/>
        </w:numPr>
        <w:ind w:left="1134" w:hanging="567"/>
        <w:rPr>
          <w:lang w:val="en-GB"/>
        </w:rPr>
      </w:pPr>
      <w:r w:rsidRPr="009C679F">
        <w:rPr>
          <w:lang w:val="en-GB"/>
        </w:rPr>
        <w:t xml:space="preserve">Market capitalisation risk </w:t>
      </w:r>
    </w:p>
    <w:p w14:paraId="4223F129" w14:textId="77777777" w:rsidR="000F6218" w:rsidRPr="009C679F" w:rsidRDefault="00790126" w:rsidP="00D06B6E">
      <w:pPr>
        <w:pStyle w:val="BodyText"/>
        <w:widowControl/>
        <w:numPr>
          <w:ilvl w:val="0"/>
          <w:numId w:val="6"/>
        </w:numPr>
        <w:ind w:left="1134" w:hanging="567"/>
        <w:rPr>
          <w:lang w:val="en-GB"/>
        </w:rPr>
      </w:pPr>
      <w:r w:rsidRPr="009C679F">
        <w:rPr>
          <w:lang w:val="en-GB"/>
        </w:rPr>
        <w:t xml:space="preserve">Emerging market risk </w:t>
      </w:r>
    </w:p>
    <w:p w14:paraId="2507AA6F" w14:textId="77E78FDA" w:rsidR="00323919" w:rsidRPr="009C679F" w:rsidRDefault="00790126" w:rsidP="00D06B6E">
      <w:pPr>
        <w:pStyle w:val="BodyText"/>
        <w:widowControl/>
        <w:numPr>
          <w:ilvl w:val="0"/>
          <w:numId w:val="6"/>
        </w:numPr>
        <w:ind w:left="1134" w:hanging="567"/>
        <w:rPr>
          <w:lang w:val="en-GB"/>
        </w:rPr>
      </w:pPr>
      <w:r w:rsidRPr="009C679F">
        <w:rPr>
          <w:lang w:val="en-GB"/>
        </w:rPr>
        <w:t>Liquidity risk</w:t>
      </w:r>
    </w:p>
    <w:p w14:paraId="44B1AF17" w14:textId="77777777" w:rsidR="000F6218" w:rsidRPr="009C679F" w:rsidRDefault="00790126" w:rsidP="00D06B6E">
      <w:pPr>
        <w:pStyle w:val="BodyText"/>
        <w:widowControl/>
        <w:numPr>
          <w:ilvl w:val="0"/>
          <w:numId w:val="6"/>
        </w:numPr>
        <w:ind w:left="1134" w:hanging="567"/>
        <w:rPr>
          <w:lang w:val="en-GB"/>
        </w:rPr>
      </w:pPr>
      <w:r w:rsidRPr="009C679F">
        <w:rPr>
          <w:lang w:val="en-GB"/>
        </w:rPr>
        <w:t xml:space="preserve">Risks associated with investment in other collective investment schemes </w:t>
      </w:r>
    </w:p>
    <w:p w14:paraId="32223672" w14:textId="6F96E4E3" w:rsidR="00323919" w:rsidRPr="009C679F" w:rsidRDefault="00790126" w:rsidP="00D06B6E">
      <w:pPr>
        <w:pStyle w:val="BodyText"/>
        <w:widowControl/>
        <w:numPr>
          <w:ilvl w:val="0"/>
          <w:numId w:val="6"/>
        </w:numPr>
        <w:ind w:left="1134" w:hanging="567"/>
        <w:rPr>
          <w:lang w:val="en-GB"/>
        </w:rPr>
      </w:pPr>
      <w:r w:rsidRPr="009C679F">
        <w:rPr>
          <w:lang w:val="en-GB"/>
        </w:rPr>
        <w:t>Investment Manager risk</w:t>
      </w:r>
    </w:p>
    <w:p w14:paraId="623FC750" w14:textId="77777777" w:rsidR="000F6218" w:rsidRPr="009C679F" w:rsidRDefault="00790126" w:rsidP="00D06B6E">
      <w:pPr>
        <w:pStyle w:val="BodyText"/>
        <w:widowControl/>
        <w:numPr>
          <w:ilvl w:val="0"/>
          <w:numId w:val="6"/>
        </w:numPr>
        <w:ind w:left="1134" w:hanging="567"/>
        <w:rPr>
          <w:lang w:val="en-GB"/>
        </w:rPr>
      </w:pPr>
      <w:r w:rsidRPr="009C679F">
        <w:rPr>
          <w:lang w:val="en-GB"/>
        </w:rPr>
        <w:t xml:space="preserve">Reliance on management risk </w:t>
      </w:r>
    </w:p>
    <w:p w14:paraId="6F167605" w14:textId="77777777" w:rsidR="000F6218" w:rsidRPr="009C679F" w:rsidRDefault="00790126" w:rsidP="00D06B6E">
      <w:pPr>
        <w:pStyle w:val="BodyText"/>
        <w:widowControl/>
        <w:numPr>
          <w:ilvl w:val="0"/>
          <w:numId w:val="6"/>
        </w:numPr>
        <w:ind w:left="1134" w:hanging="567"/>
        <w:rPr>
          <w:lang w:val="en-GB"/>
        </w:rPr>
      </w:pPr>
      <w:r w:rsidRPr="009C679F">
        <w:rPr>
          <w:lang w:val="en-GB"/>
        </w:rPr>
        <w:t xml:space="preserve">Legal and regulatory risk </w:t>
      </w:r>
    </w:p>
    <w:p w14:paraId="658F9040" w14:textId="4BBA7E53" w:rsidR="00323919" w:rsidRPr="009C679F" w:rsidRDefault="00790126" w:rsidP="00D06B6E">
      <w:pPr>
        <w:pStyle w:val="BodyText"/>
        <w:widowControl/>
        <w:numPr>
          <w:ilvl w:val="0"/>
          <w:numId w:val="6"/>
        </w:numPr>
        <w:ind w:left="1134" w:hanging="567"/>
        <w:rPr>
          <w:lang w:val="en-GB"/>
        </w:rPr>
      </w:pPr>
      <w:r w:rsidRPr="009C679F">
        <w:rPr>
          <w:lang w:val="en-GB"/>
        </w:rPr>
        <w:t>Taxation risk</w:t>
      </w:r>
    </w:p>
    <w:p w14:paraId="4F9DC31D" w14:textId="77777777" w:rsidR="00323919" w:rsidRPr="009C679F" w:rsidRDefault="00323919" w:rsidP="00D06B6E">
      <w:pPr>
        <w:pStyle w:val="BodyText"/>
        <w:widowControl/>
        <w:ind w:left="1134" w:hanging="567"/>
        <w:rPr>
          <w:lang w:val="en-GB"/>
        </w:rPr>
      </w:pPr>
    </w:p>
    <w:p w14:paraId="7252FD88" w14:textId="77777777" w:rsidR="00323919" w:rsidRPr="009C679F" w:rsidRDefault="00790126" w:rsidP="00D06B6E">
      <w:pPr>
        <w:pStyle w:val="ListParagraph"/>
        <w:widowControl/>
        <w:rPr>
          <w:lang w:val="en-GB"/>
        </w:rPr>
      </w:pPr>
      <w:bookmarkStart w:id="27" w:name="_bookmark6"/>
      <w:bookmarkStart w:id="28" w:name="_Toc98334826"/>
      <w:bookmarkStart w:id="29" w:name="_Toc172121753"/>
      <w:bookmarkEnd w:id="27"/>
      <w:r w:rsidRPr="009C679F">
        <w:rPr>
          <w:lang w:val="en-GB"/>
        </w:rPr>
        <w:t>DIVIDEND POLICY</w:t>
      </w:r>
      <w:bookmarkEnd w:id="28"/>
      <w:bookmarkEnd w:id="29"/>
    </w:p>
    <w:p w14:paraId="361D6E86" w14:textId="77777777" w:rsidR="00323919" w:rsidRPr="009C679F" w:rsidRDefault="00790126" w:rsidP="00D06B6E">
      <w:pPr>
        <w:pStyle w:val="BodyText"/>
        <w:widowControl/>
        <w:rPr>
          <w:lang w:val="en-GB"/>
        </w:rPr>
      </w:pPr>
      <w:r w:rsidRPr="009C679F">
        <w:rPr>
          <w:lang w:val="en-GB"/>
        </w:rPr>
        <w:t>It is not intended that any Distributing Shares will be issued and therefore no dividends will be distributed.</w:t>
      </w:r>
    </w:p>
    <w:p w14:paraId="2225EA84" w14:textId="77777777" w:rsidR="00323919" w:rsidRPr="009C679F" w:rsidRDefault="00323919" w:rsidP="00D06B6E">
      <w:pPr>
        <w:pStyle w:val="BodyText"/>
        <w:widowControl/>
        <w:rPr>
          <w:lang w:val="en-GB"/>
        </w:rPr>
      </w:pPr>
    </w:p>
    <w:p w14:paraId="23A289A5" w14:textId="77777777" w:rsidR="00323919" w:rsidRPr="009C679F" w:rsidRDefault="00790126" w:rsidP="00D06B6E">
      <w:pPr>
        <w:pStyle w:val="ListParagraph"/>
        <w:widowControl/>
        <w:rPr>
          <w:lang w:val="en-GB"/>
        </w:rPr>
      </w:pPr>
      <w:bookmarkStart w:id="30" w:name="_bookmark7"/>
      <w:bookmarkStart w:id="31" w:name="_Toc98334827"/>
      <w:bookmarkStart w:id="32" w:name="_Toc172121754"/>
      <w:bookmarkEnd w:id="30"/>
      <w:r w:rsidRPr="009C679F">
        <w:rPr>
          <w:lang w:val="en-GB"/>
        </w:rPr>
        <w:t>TAX STATUS</w:t>
      </w:r>
      <w:bookmarkEnd w:id="31"/>
      <w:bookmarkEnd w:id="32"/>
    </w:p>
    <w:p w14:paraId="38EAAA6B" w14:textId="77777777" w:rsidR="00323919" w:rsidRPr="009C679F" w:rsidRDefault="00790126" w:rsidP="00D06B6E">
      <w:pPr>
        <w:pStyle w:val="BodyText"/>
        <w:widowControl/>
        <w:rPr>
          <w:lang w:val="en-GB"/>
        </w:rPr>
      </w:pPr>
      <w:r w:rsidRPr="009C679F">
        <w:rPr>
          <w:lang w:val="en-GB"/>
        </w:rPr>
        <w:t>Please see the section in the Prospectus entitled “Taxation”.</w:t>
      </w:r>
    </w:p>
    <w:p w14:paraId="1D98AFCD" w14:textId="77777777" w:rsidR="00323919" w:rsidRPr="009C679F" w:rsidRDefault="00323919" w:rsidP="00D06B6E">
      <w:pPr>
        <w:pStyle w:val="BodyText"/>
        <w:widowControl/>
        <w:rPr>
          <w:lang w:val="en-GB"/>
        </w:rPr>
      </w:pPr>
    </w:p>
    <w:p w14:paraId="01A179A0" w14:textId="77777777" w:rsidR="00EB7336" w:rsidRPr="009C679F" w:rsidRDefault="00790126" w:rsidP="00D06B6E">
      <w:pPr>
        <w:pStyle w:val="ListParagraph"/>
        <w:widowControl/>
        <w:rPr>
          <w:lang w:val="en-GB"/>
        </w:rPr>
      </w:pPr>
      <w:bookmarkStart w:id="33" w:name="_bookmark8"/>
      <w:bookmarkStart w:id="34" w:name="_Toc98334828"/>
      <w:bookmarkStart w:id="35" w:name="_Toc172121755"/>
      <w:bookmarkEnd w:id="33"/>
      <w:r w:rsidRPr="009C679F">
        <w:rPr>
          <w:lang w:val="en-GB"/>
        </w:rPr>
        <w:t>KEY INFORMATION FOR SUBSCRIBING AND REDEEMING</w:t>
      </w:r>
      <w:bookmarkEnd w:id="34"/>
      <w:bookmarkEnd w:id="35"/>
      <w:r w:rsidRPr="009C679F">
        <w:rPr>
          <w:lang w:val="en-GB"/>
        </w:rPr>
        <w:t xml:space="preserve"> </w:t>
      </w:r>
    </w:p>
    <w:p w14:paraId="059D18A7" w14:textId="1C1235AA" w:rsidR="00323919" w:rsidRPr="009C679F" w:rsidRDefault="00790126" w:rsidP="00D06B6E">
      <w:pPr>
        <w:pStyle w:val="Heading1"/>
        <w:widowControl/>
      </w:pPr>
      <w:bookmarkStart w:id="36" w:name="_Toc173750980"/>
      <w:r w:rsidRPr="009C679F">
        <w:t>Base Currency</w:t>
      </w:r>
      <w:bookmarkEnd w:id="36"/>
    </w:p>
    <w:p w14:paraId="76C77596" w14:textId="77777777" w:rsidR="00323919" w:rsidRPr="009C679F" w:rsidRDefault="00323919" w:rsidP="00D06B6E">
      <w:pPr>
        <w:pStyle w:val="BodyText"/>
        <w:widowControl/>
        <w:rPr>
          <w:lang w:val="en-GB"/>
        </w:rPr>
      </w:pPr>
    </w:p>
    <w:p w14:paraId="5CF7012A" w14:textId="77777777" w:rsidR="00323919" w:rsidRPr="009C679F" w:rsidRDefault="00790126" w:rsidP="00D06B6E">
      <w:pPr>
        <w:pStyle w:val="BodyText"/>
        <w:widowControl/>
        <w:rPr>
          <w:lang w:val="en-GB"/>
        </w:rPr>
      </w:pPr>
      <w:r w:rsidRPr="009C679F">
        <w:rPr>
          <w:lang w:val="en-GB"/>
        </w:rPr>
        <w:t>The Base Currency of the Fund is US Dollars but investments and Share Classes may be denominated in other currencies.</w:t>
      </w:r>
    </w:p>
    <w:p w14:paraId="0AF483E6" w14:textId="77777777" w:rsidR="00323919" w:rsidRPr="009C679F" w:rsidRDefault="00323919" w:rsidP="00D06B6E">
      <w:pPr>
        <w:pStyle w:val="BodyText"/>
        <w:widowControl/>
        <w:rPr>
          <w:lang w:val="en-GB"/>
        </w:rPr>
      </w:pPr>
    </w:p>
    <w:p w14:paraId="6174C7A6" w14:textId="77777777" w:rsidR="00323919" w:rsidRPr="009C679F" w:rsidRDefault="00790126" w:rsidP="00D06B6E">
      <w:pPr>
        <w:pStyle w:val="Heading1"/>
        <w:widowControl/>
      </w:pPr>
      <w:bookmarkStart w:id="37" w:name="_Toc173750981"/>
      <w:r w:rsidRPr="009C679F">
        <w:t>Share Classes</w:t>
      </w:r>
      <w:bookmarkEnd w:id="37"/>
    </w:p>
    <w:p w14:paraId="581C14E1" w14:textId="77777777" w:rsidR="00323919" w:rsidRPr="009C679F" w:rsidRDefault="00323919" w:rsidP="00D06B6E">
      <w:pPr>
        <w:pStyle w:val="BodyText"/>
        <w:widowControl/>
        <w:rPr>
          <w:lang w:val="en-GB"/>
        </w:rPr>
      </w:pPr>
    </w:p>
    <w:p w14:paraId="4859D2F4" w14:textId="77777777" w:rsidR="00323919" w:rsidRPr="009C679F" w:rsidRDefault="00790126" w:rsidP="00D06B6E">
      <w:pPr>
        <w:pStyle w:val="BodyText"/>
        <w:widowControl/>
        <w:rPr>
          <w:lang w:val="en-GB"/>
        </w:rPr>
      </w:pPr>
      <w:r w:rsidRPr="009C679F">
        <w:rPr>
          <w:lang w:val="en-GB"/>
        </w:rPr>
        <w:t>The ICAV may issue Shares in each of the Share Classes set out below.</w:t>
      </w:r>
    </w:p>
    <w:p w14:paraId="38FEC4F7" w14:textId="77777777" w:rsidR="00323919" w:rsidRPr="009C679F" w:rsidRDefault="00323919" w:rsidP="00D06B6E">
      <w:pPr>
        <w:pStyle w:val="BodyText"/>
        <w:widowControl/>
        <w:rPr>
          <w:lang w:val="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9"/>
        <w:gridCol w:w="1629"/>
        <w:gridCol w:w="1630"/>
        <w:gridCol w:w="1629"/>
        <w:gridCol w:w="1629"/>
        <w:gridCol w:w="1630"/>
      </w:tblGrid>
      <w:tr w:rsidR="00F318CD" w:rsidRPr="009C679F" w14:paraId="3FB6074E" w14:textId="77777777" w:rsidTr="002D71C8">
        <w:trPr>
          <w:trHeight w:val="217"/>
          <w:tblHeader/>
        </w:trPr>
        <w:tc>
          <w:tcPr>
            <w:tcW w:w="1629" w:type="dxa"/>
            <w:shd w:val="clear" w:color="auto" w:fill="BFBFBF" w:themeFill="background1" w:themeFillShade="BF"/>
          </w:tcPr>
          <w:p w14:paraId="649034F6" w14:textId="2AC8E31F" w:rsidR="00AA4E04" w:rsidRPr="009C679F" w:rsidRDefault="00AA4E04" w:rsidP="005116AD">
            <w:pPr>
              <w:pStyle w:val="TableParagraph"/>
              <w:widowControl/>
              <w:ind w:left="0"/>
              <w:jc w:val="left"/>
              <w:rPr>
                <w:b/>
                <w:lang w:val="en-GB"/>
              </w:rPr>
            </w:pPr>
            <w:r w:rsidRPr="009C679F">
              <w:rPr>
                <w:b/>
                <w:lang w:val="en-GB"/>
              </w:rPr>
              <w:lastRenderedPageBreak/>
              <w:t>Class</w:t>
            </w:r>
          </w:p>
        </w:tc>
        <w:tc>
          <w:tcPr>
            <w:tcW w:w="1629" w:type="dxa"/>
            <w:shd w:val="clear" w:color="auto" w:fill="BFBFBF" w:themeFill="background1" w:themeFillShade="BF"/>
          </w:tcPr>
          <w:p w14:paraId="0B4CB31D" w14:textId="77BDE0AB" w:rsidR="00AA4E04" w:rsidRPr="005116AD" w:rsidRDefault="00AA4E04" w:rsidP="00AA4E04">
            <w:pPr>
              <w:pStyle w:val="TableParagraph"/>
              <w:keepNext/>
              <w:widowControl/>
              <w:ind w:left="0"/>
              <w:jc w:val="left"/>
              <w:rPr>
                <w:b/>
                <w:lang w:val="en-GB"/>
              </w:rPr>
            </w:pPr>
            <w:r w:rsidRPr="009C679F">
              <w:rPr>
                <w:b/>
                <w:lang w:val="en-GB"/>
              </w:rPr>
              <w:t>F</w:t>
            </w:r>
          </w:p>
        </w:tc>
        <w:tc>
          <w:tcPr>
            <w:tcW w:w="1630" w:type="dxa"/>
            <w:shd w:val="clear" w:color="auto" w:fill="BFBFBF" w:themeFill="background1" w:themeFillShade="BF"/>
          </w:tcPr>
          <w:p w14:paraId="188008AC" w14:textId="4A60FA1B" w:rsidR="00AA4E04" w:rsidRPr="005116AD" w:rsidRDefault="00AA4E04" w:rsidP="00AA4E04">
            <w:pPr>
              <w:pStyle w:val="TableParagraph"/>
              <w:keepNext/>
              <w:widowControl/>
              <w:ind w:left="0"/>
              <w:jc w:val="left"/>
              <w:rPr>
                <w:b/>
                <w:lang w:val="en-GB"/>
              </w:rPr>
            </w:pPr>
            <w:r w:rsidRPr="009C679F">
              <w:rPr>
                <w:b/>
                <w:lang w:val="en-GB"/>
              </w:rPr>
              <w:t>I</w:t>
            </w:r>
          </w:p>
        </w:tc>
        <w:tc>
          <w:tcPr>
            <w:tcW w:w="1629" w:type="dxa"/>
            <w:shd w:val="clear" w:color="auto" w:fill="BFBFBF" w:themeFill="background1" w:themeFillShade="BF"/>
          </w:tcPr>
          <w:p w14:paraId="02D97D9D" w14:textId="0567AC90" w:rsidR="00AA4E04" w:rsidRPr="005116AD" w:rsidRDefault="00AA4E04" w:rsidP="00AA4E04">
            <w:pPr>
              <w:pStyle w:val="TableParagraph"/>
              <w:keepNext/>
              <w:widowControl/>
              <w:ind w:left="0"/>
              <w:jc w:val="left"/>
              <w:rPr>
                <w:b/>
                <w:lang w:val="en-GB"/>
              </w:rPr>
            </w:pPr>
            <w:r w:rsidRPr="009C679F">
              <w:rPr>
                <w:b/>
                <w:lang w:val="en-GB"/>
              </w:rPr>
              <w:t>S</w:t>
            </w:r>
          </w:p>
        </w:tc>
        <w:tc>
          <w:tcPr>
            <w:tcW w:w="1629" w:type="dxa"/>
            <w:shd w:val="clear" w:color="auto" w:fill="BFBFBF" w:themeFill="background1" w:themeFillShade="BF"/>
          </w:tcPr>
          <w:p w14:paraId="6CB49C51" w14:textId="7553C01D" w:rsidR="00AA4E04" w:rsidRPr="005116AD" w:rsidRDefault="00AA4E04" w:rsidP="00AA4E04">
            <w:pPr>
              <w:pStyle w:val="TableParagraph"/>
              <w:keepNext/>
              <w:widowControl/>
              <w:ind w:left="0"/>
              <w:jc w:val="left"/>
              <w:rPr>
                <w:b/>
                <w:lang w:val="en-GB"/>
              </w:rPr>
            </w:pPr>
            <w:r w:rsidRPr="009C679F">
              <w:rPr>
                <w:b/>
                <w:lang w:val="en-GB"/>
              </w:rPr>
              <w:t>R</w:t>
            </w:r>
          </w:p>
        </w:tc>
        <w:tc>
          <w:tcPr>
            <w:tcW w:w="1630" w:type="dxa"/>
            <w:shd w:val="clear" w:color="auto" w:fill="BFBFBF" w:themeFill="background1" w:themeFillShade="BF"/>
          </w:tcPr>
          <w:p w14:paraId="67DDB6AD" w14:textId="28FE1465" w:rsidR="00AA4E04" w:rsidRPr="005116AD" w:rsidRDefault="00AA4E04" w:rsidP="00AA4E04">
            <w:pPr>
              <w:pStyle w:val="TableParagraph"/>
              <w:keepNext/>
              <w:widowControl/>
              <w:ind w:left="0"/>
              <w:jc w:val="left"/>
              <w:rPr>
                <w:b/>
                <w:lang w:val="en-GB"/>
              </w:rPr>
            </w:pPr>
            <w:r w:rsidRPr="009C679F">
              <w:rPr>
                <w:b/>
                <w:lang w:val="en-GB"/>
              </w:rPr>
              <w:t>J</w:t>
            </w:r>
          </w:p>
        </w:tc>
      </w:tr>
      <w:tr w:rsidR="006A484E" w:rsidRPr="009C679F" w14:paraId="245B5E5B" w14:textId="77777777" w:rsidTr="005116AD">
        <w:trPr>
          <w:trHeight w:val="2290"/>
        </w:trPr>
        <w:tc>
          <w:tcPr>
            <w:tcW w:w="1629" w:type="dxa"/>
          </w:tcPr>
          <w:p w14:paraId="421A894D" w14:textId="77777777" w:rsidR="00323919" w:rsidRPr="009C679F" w:rsidRDefault="00790126" w:rsidP="00883FED">
            <w:pPr>
              <w:pStyle w:val="TableParagraph"/>
              <w:widowControl/>
              <w:spacing w:after="240"/>
              <w:ind w:left="0"/>
              <w:jc w:val="left"/>
              <w:rPr>
                <w:b/>
                <w:lang w:val="en-GB"/>
              </w:rPr>
            </w:pPr>
            <w:r w:rsidRPr="009C679F">
              <w:rPr>
                <w:b/>
                <w:lang w:val="en-GB"/>
              </w:rPr>
              <w:t>Investor Restrictions</w:t>
            </w:r>
          </w:p>
        </w:tc>
        <w:tc>
          <w:tcPr>
            <w:tcW w:w="1629" w:type="dxa"/>
          </w:tcPr>
          <w:p w14:paraId="48948FA3" w14:textId="3009E759" w:rsidR="00323919" w:rsidRPr="009C679F" w:rsidRDefault="00790126" w:rsidP="00883FED">
            <w:pPr>
              <w:pStyle w:val="TableParagraph"/>
              <w:keepNext/>
              <w:widowControl/>
              <w:spacing w:after="240"/>
              <w:ind w:left="0"/>
              <w:jc w:val="left"/>
              <w:rPr>
                <w:lang w:val="en-GB"/>
              </w:rPr>
            </w:pPr>
            <w:r w:rsidRPr="009C679F">
              <w:rPr>
                <w:lang w:val="en-GB"/>
              </w:rPr>
              <w:t>Founder share class is only open to certain financial institutions and individual investors</w:t>
            </w:r>
            <w:r w:rsidR="000F6218" w:rsidRPr="009C679F">
              <w:rPr>
                <w:lang w:val="en-GB"/>
              </w:rPr>
              <w:t xml:space="preserve"> </w:t>
            </w:r>
            <w:r w:rsidR="008968FA" w:rsidRPr="009C679F">
              <w:rPr>
                <w:lang w:val="en-GB"/>
              </w:rPr>
              <w:t>w</w:t>
            </w:r>
            <w:r w:rsidRPr="009C679F">
              <w:rPr>
                <w:lang w:val="en-GB"/>
              </w:rPr>
              <w:t>ho</w:t>
            </w:r>
            <w:r w:rsidR="008968FA" w:rsidRPr="009C679F">
              <w:rPr>
                <w:lang w:val="en-GB"/>
              </w:rPr>
              <w:t xml:space="preserve"> </w:t>
            </w:r>
            <w:r w:rsidRPr="009C679F">
              <w:rPr>
                <w:lang w:val="en-GB"/>
              </w:rPr>
              <w:t>have entered into</w:t>
            </w:r>
            <w:r w:rsidR="008968FA" w:rsidRPr="009C679F">
              <w:rPr>
                <w:lang w:val="en-GB"/>
              </w:rPr>
              <w:t xml:space="preserve"> an agreement with the</w:t>
            </w:r>
            <w:r w:rsidR="000F6218" w:rsidRPr="009C679F">
              <w:rPr>
                <w:lang w:val="en-GB"/>
              </w:rPr>
              <w:t xml:space="preserve"> </w:t>
            </w:r>
            <w:r w:rsidR="008968FA" w:rsidRPr="009C679F">
              <w:rPr>
                <w:lang w:val="en-GB"/>
              </w:rPr>
              <w:t>Investment Manager</w:t>
            </w:r>
            <w:r w:rsidR="00883FED" w:rsidRPr="009C679F">
              <w:rPr>
                <w:lang w:val="en-GB"/>
              </w:rPr>
              <w:t>.</w:t>
            </w:r>
          </w:p>
        </w:tc>
        <w:tc>
          <w:tcPr>
            <w:tcW w:w="1630" w:type="dxa"/>
          </w:tcPr>
          <w:p w14:paraId="06573BEE" w14:textId="77777777" w:rsidR="00323919" w:rsidRPr="009C679F" w:rsidRDefault="00790126" w:rsidP="00883FED">
            <w:pPr>
              <w:pStyle w:val="TableParagraph"/>
              <w:keepNext/>
              <w:widowControl/>
              <w:spacing w:after="240"/>
              <w:ind w:left="0"/>
              <w:jc w:val="left"/>
              <w:rPr>
                <w:lang w:val="en-GB"/>
              </w:rPr>
            </w:pPr>
            <w:r w:rsidRPr="009C679F">
              <w:rPr>
                <w:lang w:val="en-GB"/>
              </w:rPr>
              <w:t>Institutional investors.</w:t>
            </w:r>
          </w:p>
        </w:tc>
        <w:tc>
          <w:tcPr>
            <w:tcW w:w="1629" w:type="dxa"/>
          </w:tcPr>
          <w:p w14:paraId="5BA2D986" w14:textId="77777777" w:rsidR="00323919" w:rsidRPr="009C679F" w:rsidRDefault="00790126" w:rsidP="00883FED">
            <w:pPr>
              <w:pStyle w:val="TableParagraph"/>
              <w:keepNext/>
              <w:widowControl/>
              <w:spacing w:after="240"/>
              <w:ind w:left="0"/>
              <w:jc w:val="left"/>
              <w:rPr>
                <w:lang w:val="en-GB"/>
              </w:rPr>
            </w:pPr>
            <w:r w:rsidRPr="009C679F">
              <w:rPr>
                <w:lang w:val="en-GB"/>
              </w:rPr>
              <w:t>Retail investors.</w:t>
            </w:r>
          </w:p>
        </w:tc>
        <w:tc>
          <w:tcPr>
            <w:tcW w:w="1629" w:type="dxa"/>
          </w:tcPr>
          <w:p w14:paraId="117FCF23" w14:textId="7BC27A17" w:rsidR="00323919" w:rsidRPr="009C679F" w:rsidRDefault="00994495" w:rsidP="00883FED">
            <w:pPr>
              <w:pStyle w:val="TableParagraph"/>
              <w:keepNext/>
              <w:widowControl/>
              <w:spacing w:after="240"/>
              <w:ind w:left="0"/>
              <w:jc w:val="left"/>
              <w:rPr>
                <w:lang w:val="en-GB"/>
              </w:rPr>
            </w:pPr>
            <w:r>
              <w:rPr>
                <w:lang w:val="en-GB"/>
              </w:rPr>
              <w:t>Class is only open to certain financial institutions and individual investors who have entered into an agreement with the Investment Manager.</w:t>
            </w:r>
          </w:p>
        </w:tc>
        <w:tc>
          <w:tcPr>
            <w:tcW w:w="1630" w:type="dxa"/>
          </w:tcPr>
          <w:p w14:paraId="6F3A22F1" w14:textId="77777777" w:rsidR="00323919" w:rsidRPr="009C679F" w:rsidRDefault="00790126" w:rsidP="00883FED">
            <w:pPr>
              <w:pStyle w:val="TableParagraph"/>
              <w:keepNext/>
              <w:widowControl/>
              <w:spacing w:after="240"/>
              <w:ind w:left="0"/>
              <w:jc w:val="left"/>
              <w:rPr>
                <w:lang w:val="en-GB"/>
              </w:rPr>
            </w:pPr>
            <w:r w:rsidRPr="009C679F">
              <w:rPr>
                <w:lang w:val="en-GB"/>
              </w:rPr>
              <w:t>Retail investors.</w:t>
            </w:r>
          </w:p>
        </w:tc>
      </w:tr>
      <w:tr w:rsidR="006A484E" w:rsidRPr="009C679F" w14:paraId="0F664AC6" w14:textId="77777777" w:rsidTr="005116AD">
        <w:trPr>
          <w:trHeight w:val="790"/>
        </w:trPr>
        <w:tc>
          <w:tcPr>
            <w:tcW w:w="1629" w:type="dxa"/>
          </w:tcPr>
          <w:p w14:paraId="191132B9" w14:textId="77777777" w:rsidR="00323919" w:rsidRPr="009C679F" w:rsidRDefault="00790126" w:rsidP="00883FED">
            <w:pPr>
              <w:pStyle w:val="TableParagraph"/>
              <w:widowControl/>
              <w:spacing w:after="240"/>
              <w:ind w:left="0"/>
              <w:jc w:val="left"/>
              <w:rPr>
                <w:b/>
                <w:lang w:val="en-GB"/>
              </w:rPr>
            </w:pPr>
            <w:r w:rsidRPr="009C679F">
              <w:rPr>
                <w:b/>
                <w:lang w:val="en-GB"/>
              </w:rPr>
              <w:t>Currencies available</w:t>
            </w:r>
          </w:p>
        </w:tc>
        <w:tc>
          <w:tcPr>
            <w:tcW w:w="1629" w:type="dxa"/>
          </w:tcPr>
          <w:p w14:paraId="43D3AE0F" w14:textId="77777777" w:rsidR="00323919" w:rsidRPr="009C679F" w:rsidRDefault="00790126" w:rsidP="00883FED">
            <w:pPr>
              <w:pStyle w:val="TableParagraph"/>
              <w:keepNext/>
              <w:widowControl/>
              <w:spacing w:after="240"/>
              <w:ind w:left="0"/>
              <w:jc w:val="left"/>
              <w:rPr>
                <w:lang w:val="en-GB"/>
              </w:rPr>
            </w:pPr>
            <w:r w:rsidRPr="009C679F">
              <w:rPr>
                <w:lang w:val="en-GB"/>
              </w:rPr>
              <w:t>US$</w:t>
            </w:r>
          </w:p>
        </w:tc>
        <w:tc>
          <w:tcPr>
            <w:tcW w:w="1630" w:type="dxa"/>
          </w:tcPr>
          <w:p w14:paraId="2AC960E6" w14:textId="77777777" w:rsidR="00323919" w:rsidRPr="009C679F" w:rsidRDefault="00790126" w:rsidP="00883FED">
            <w:pPr>
              <w:pStyle w:val="TableParagraph"/>
              <w:keepNext/>
              <w:widowControl/>
              <w:spacing w:after="240"/>
              <w:ind w:left="0"/>
              <w:jc w:val="left"/>
              <w:rPr>
                <w:lang w:val="en-GB"/>
              </w:rPr>
            </w:pPr>
            <w:r w:rsidRPr="009C679F">
              <w:rPr>
                <w:lang w:val="en-GB"/>
              </w:rPr>
              <w:t>US$</w:t>
            </w:r>
          </w:p>
        </w:tc>
        <w:tc>
          <w:tcPr>
            <w:tcW w:w="1629" w:type="dxa"/>
          </w:tcPr>
          <w:p w14:paraId="502B2E5E" w14:textId="789A29A5" w:rsidR="000F6218" w:rsidRPr="009C679F" w:rsidRDefault="00790126" w:rsidP="00883FED">
            <w:pPr>
              <w:pStyle w:val="TableParagraph"/>
              <w:keepNext/>
              <w:widowControl/>
              <w:ind w:left="0"/>
              <w:jc w:val="left"/>
              <w:rPr>
                <w:lang w:val="en-GB"/>
              </w:rPr>
            </w:pPr>
            <w:r w:rsidRPr="009C679F">
              <w:rPr>
                <w:lang w:val="en-GB"/>
              </w:rPr>
              <w:t>US$</w:t>
            </w:r>
          </w:p>
          <w:p w14:paraId="0A971D2B" w14:textId="239EAD7B" w:rsidR="00323919" w:rsidRPr="009C679F" w:rsidRDefault="00790126" w:rsidP="00883FED">
            <w:pPr>
              <w:pStyle w:val="TableParagraph"/>
              <w:keepNext/>
              <w:widowControl/>
              <w:ind w:left="0"/>
              <w:jc w:val="left"/>
              <w:rPr>
                <w:lang w:val="en-GB"/>
              </w:rPr>
            </w:pPr>
            <w:r w:rsidRPr="009C679F">
              <w:rPr>
                <w:lang w:val="en-GB"/>
              </w:rPr>
              <w:t>GBP</w:t>
            </w:r>
          </w:p>
          <w:p w14:paraId="6246A448" w14:textId="77777777" w:rsidR="00323919" w:rsidRPr="009C679F" w:rsidRDefault="00790126" w:rsidP="00883FED">
            <w:pPr>
              <w:pStyle w:val="TableParagraph"/>
              <w:keepNext/>
              <w:widowControl/>
              <w:ind w:left="0"/>
              <w:jc w:val="left"/>
              <w:rPr>
                <w:lang w:val="en-GB"/>
              </w:rPr>
            </w:pPr>
            <w:r w:rsidRPr="009C679F">
              <w:rPr>
                <w:lang w:val="en-GB"/>
              </w:rPr>
              <w:t>Euro</w:t>
            </w:r>
          </w:p>
          <w:p w14:paraId="0300E655" w14:textId="77777777" w:rsidR="00323919" w:rsidRPr="009C679F" w:rsidRDefault="00790126" w:rsidP="00883FED">
            <w:pPr>
              <w:pStyle w:val="TableParagraph"/>
              <w:keepNext/>
              <w:widowControl/>
              <w:ind w:left="0"/>
              <w:jc w:val="left"/>
              <w:rPr>
                <w:lang w:val="en-GB"/>
              </w:rPr>
            </w:pPr>
            <w:r w:rsidRPr="009C679F">
              <w:rPr>
                <w:lang w:val="en-GB"/>
              </w:rPr>
              <w:t>Singapore Dollar</w:t>
            </w:r>
          </w:p>
          <w:p w14:paraId="4AF63BC5" w14:textId="1684F4C8" w:rsidR="00883FED" w:rsidRPr="009C679F" w:rsidRDefault="00883FED" w:rsidP="00883FED">
            <w:pPr>
              <w:pStyle w:val="TableParagraph"/>
              <w:keepNext/>
              <w:widowControl/>
              <w:ind w:left="0"/>
              <w:jc w:val="left"/>
              <w:rPr>
                <w:lang w:val="en-GB"/>
              </w:rPr>
            </w:pPr>
            <w:r w:rsidRPr="009C679F">
              <w:rPr>
                <w:lang w:val="en-GB"/>
              </w:rPr>
              <w:t>JPY</w:t>
            </w:r>
          </w:p>
          <w:p w14:paraId="4B1937B2" w14:textId="77777777" w:rsidR="00883FED" w:rsidRPr="009C679F" w:rsidRDefault="00883FED" w:rsidP="00883FED">
            <w:pPr>
              <w:pStyle w:val="TableParagraph"/>
              <w:keepNext/>
              <w:widowControl/>
              <w:ind w:left="0"/>
              <w:jc w:val="left"/>
              <w:rPr>
                <w:lang w:val="en-GB"/>
              </w:rPr>
            </w:pPr>
          </w:p>
        </w:tc>
        <w:tc>
          <w:tcPr>
            <w:tcW w:w="1629" w:type="dxa"/>
          </w:tcPr>
          <w:p w14:paraId="217A83D4" w14:textId="77777777" w:rsidR="00323919" w:rsidRPr="009C679F" w:rsidRDefault="00790126" w:rsidP="00883FED">
            <w:pPr>
              <w:pStyle w:val="TableParagraph"/>
              <w:keepNext/>
              <w:widowControl/>
              <w:spacing w:after="240"/>
              <w:ind w:left="0"/>
              <w:jc w:val="left"/>
              <w:rPr>
                <w:lang w:val="en-GB"/>
              </w:rPr>
            </w:pPr>
            <w:r w:rsidRPr="009C679F">
              <w:rPr>
                <w:lang w:val="en-GB"/>
              </w:rPr>
              <w:t>GBP</w:t>
            </w:r>
          </w:p>
        </w:tc>
        <w:tc>
          <w:tcPr>
            <w:tcW w:w="1630" w:type="dxa"/>
          </w:tcPr>
          <w:p w14:paraId="24E66B3D" w14:textId="77777777" w:rsidR="00883FED" w:rsidRPr="009C679F" w:rsidRDefault="00790126" w:rsidP="00883FED">
            <w:pPr>
              <w:pStyle w:val="TableParagraph"/>
              <w:keepNext/>
              <w:widowControl/>
              <w:ind w:left="0"/>
              <w:jc w:val="left"/>
              <w:rPr>
                <w:lang w:val="en-GB"/>
              </w:rPr>
            </w:pPr>
            <w:r w:rsidRPr="009C679F">
              <w:rPr>
                <w:lang w:val="en-GB"/>
              </w:rPr>
              <w:t xml:space="preserve">US$ </w:t>
            </w:r>
          </w:p>
          <w:p w14:paraId="788C690C" w14:textId="77777777" w:rsidR="00323919" w:rsidRPr="009C679F" w:rsidRDefault="00790126" w:rsidP="00883FED">
            <w:pPr>
              <w:pStyle w:val="TableParagraph"/>
              <w:keepNext/>
              <w:widowControl/>
              <w:ind w:left="0"/>
              <w:jc w:val="left"/>
              <w:rPr>
                <w:lang w:val="en-GB"/>
              </w:rPr>
            </w:pPr>
            <w:r w:rsidRPr="009C679F">
              <w:rPr>
                <w:lang w:val="en-GB"/>
              </w:rPr>
              <w:t>GBP</w:t>
            </w:r>
          </w:p>
          <w:p w14:paraId="6E858478" w14:textId="77777777" w:rsidR="00883FED" w:rsidRPr="009C679F" w:rsidRDefault="00883FED" w:rsidP="00883FED">
            <w:pPr>
              <w:pStyle w:val="TableParagraph"/>
              <w:keepNext/>
              <w:widowControl/>
              <w:ind w:left="0"/>
              <w:jc w:val="left"/>
              <w:rPr>
                <w:lang w:val="en-GB"/>
              </w:rPr>
            </w:pPr>
            <w:r w:rsidRPr="009C679F">
              <w:rPr>
                <w:lang w:val="en-GB"/>
              </w:rPr>
              <w:t>JPY</w:t>
            </w:r>
          </w:p>
          <w:p w14:paraId="74201F86" w14:textId="1337EBE7" w:rsidR="00883FED" w:rsidRPr="009C679F" w:rsidRDefault="000D1875" w:rsidP="00883FED">
            <w:pPr>
              <w:pStyle w:val="TableParagraph"/>
              <w:keepNext/>
              <w:widowControl/>
              <w:ind w:left="0"/>
              <w:jc w:val="left"/>
              <w:rPr>
                <w:lang w:val="en-GB"/>
              </w:rPr>
            </w:pPr>
            <w:r w:rsidRPr="009C679F">
              <w:rPr>
                <w:lang w:val="en-GB"/>
              </w:rPr>
              <w:t>Euro</w:t>
            </w:r>
          </w:p>
        </w:tc>
      </w:tr>
      <w:tr w:rsidR="006A484E" w:rsidRPr="009C679F" w14:paraId="05BFCB47" w14:textId="77777777" w:rsidTr="005116AD">
        <w:trPr>
          <w:trHeight w:val="654"/>
        </w:trPr>
        <w:tc>
          <w:tcPr>
            <w:tcW w:w="1629" w:type="dxa"/>
          </w:tcPr>
          <w:p w14:paraId="624F4167" w14:textId="77777777" w:rsidR="002B2674" w:rsidRPr="009C679F" w:rsidRDefault="002B2674" w:rsidP="00883FED">
            <w:pPr>
              <w:pStyle w:val="TableParagraph"/>
              <w:widowControl/>
              <w:spacing w:after="240"/>
              <w:ind w:left="0"/>
              <w:jc w:val="left"/>
              <w:rPr>
                <w:b/>
                <w:lang w:val="en-GB"/>
              </w:rPr>
            </w:pPr>
            <w:r w:rsidRPr="009C679F">
              <w:rPr>
                <w:b/>
                <w:lang w:val="en-GB"/>
              </w:rPr>
              <w:t>Platform fee (percentage of NAV)</w:t>
            </w:r>
          </w:p>
        </w:tc>
        <w:tc>
          <w:tcPr>
            <w:tcW w:w="1629" w:type="dxa"/>
          </w:tcPr>
          <w:p w14:paraId="158D0475" w14:textId="48832B83" w:rsidR="002B2674" w:rsidRPr="009C679F" w:rsidRDefault="002B2674" w:rsidP="00883FED">
            <w:pPr>
              <w:pStyle w:val="TableParagraph"/>
              <w:keepNext/>
              <w:widowControl/>
              <w:spacing w:after="240"/>
              <w:ind w:left="0"/>
              <w:jc w:val="left"/>
              <w:rPr>
                <w:lang w:val="en-GB"/>
              </w:rPr>
            </w:pPr>
            <w:r w:rsidRPr="009C679F">
              <w:rPr>
                <w:lang w:val="en-GB"/>
              </w:rPr>
              <w:t>0.15%</w:t>
            </w:r>
            <w:r w:rsidR="00883FED" w:rsidRPr="009C679F">
              <w:rPr>
                <w:lang w:val="en-GB"/>
              </w:rPr>
              <w:t xml:space="preserve"> </w:t>
            </w:r>
            <w:r w:rsidRPr="009C679F">
              <w:rPr>
                <w:lang w:val="en-GB"/>
              </w:rPr>
              <w:t>per annum.</w:t>
            </w:r>
          </w:p>
        </w:tc>
        <w:tc>
          <w:tcPr>
            <w:tcW w:w="1630" w:type="dxa"/>
          </w:tcPr>
          <w:p w14:paraId="5DF0AF87" w14:textId="34126A75" w:rsidR="002B2674" w:rsidRPr="009C679F" w:rsidRDefault="002B2674" w:rsidP="00883FED">
            <w:pPr>
              <w:pStyle w:val="TableParagraph"/>
              <w:keepNext/>
              <w:widowControl/>
              <w:spacing w:after="240"/>
              <w:ind w:left="0"/>
              <w:jc w:val="left"/>
              <w:rPr>
                <w:lang w:val="en-GB"/>
              </w:rPr>
            </w:pPr>
            <w:r w:rsidRPr="009C679F">
              <w:rPr>
                <w:lang w:val="en-GB"/>
              </w:rPr>
              <w:t>0.15% per annum.</w:t>
            </w:r>
          </w:p>
        </w:tc>
        <w:tc>
          <w:tcPr>
            <w:tcW w:w="1629" w:type="dxa"/>
          </w:tcPr>
          <w:p w14:paraId="758AC2A1" w14:textId="3F584A18" w:rsidR="002B2674" w:rsidRPr="009C679F" w:rsidRDefault="002B2674" w:rsidP="00883FED">
            <w:pPr>
              <w:pStyle w:val="TableParagraph"/>
              <w:keepNext/>
              <w:widowControl/>
              <w:spacing w:after="240"/>
              <w:ind w:left="0"/>
              <w:jc w:val="left"/>
              <w:rPr>
                <w:lang w:val="en-GB"/>
              </w:rPr>
            </w:pPr>
            <w:r w:rsidRPr="009C679F">
              <w:rPr>
                <w:lang w:val="en-GB"/>
              </w:rPr>
              <w:t>0.15% per annum.</w:t>
            </w:r>
          </w:p>
        </w:tc>
        <w:tc>
          <w:tcPr>
            <w:tcW w:w="1629" w:type="dxa"/>
          </w:tcPr>
          <w:p w14:paraId="67598C9A" w14:textId="31C2885A" w:rsidR="002B2674" w:rsidRPr="009C679F" w:rsidRDefault="002B2674" w:rsidP="00883FED">
            <w:pPr>
              <w:pStyle w:val="TableParagraph"/>
              <w:keepNext/>
              <w:widowControl/>
              <w:spacing w:after="240"/>
              <w:ind w:left="0"/>
              <w:jc w:val="left"/>
              <w:rPr>
                <w:lang w:val="en-GB"/>
              </w:rPr>
            </w:pPr>
            <w:r w:rsidRPr="009C679F">
              <w:rPr>
                <w:lang w:val="en-GB"/>
              </w:rPr>
              <w:t>0.15% per annum.</w:t>
            </w:r>
          </w:p>
        </w:tc>
        <w:tc>
          <w:tcPr>
            <w:tcW w:w="1630" w:type="dxa"/>
          </w:tcPr>
          <w:p w14:paraId="7173E25C" w14:textId="0478E0FF" w:rsidR="002B2674" w:rsidRPr="009C679F" w:rsidRDefault="002B2674" w:rsidP="00883FED">
            <w:pPr>
              <w:pStyle w:val="TableParagraph"/>
              <w:keepNext/>
              <w:widowControl/>
              <w:spacing w:after="240"/>
              <w:ind w:left="0"/>
              <w:jc w:val="left"/>
              <w:rPr>
                <w:lang w:val="en-GB"/>
              </w:rPr>
            </w:pPr>
            <w:r w:rsidRPr="009C679F">
              <w:rPr>
                <w:lang w:val="en-GB"/>
              </w:rPr>
              <w:t>0.15% per annum.</w:t>
            </w:r>
          </w:p>
        </w:tc>
      </w:tr>
      <w:tr w:rsidR="006A484E" w:rsidRPr="009C679F" w14:paraId="253860F9" w14:textId="77777777" w:rsidTr="005116AD">
        <w:trPr>
          <w:trHeight w:val="868"/>
        </w:trPr>
        <w:tc>
          <w:tcPr>
            <w:tcW w:w="1629" w:type="dxa"/>
          </w:tcPr>
          <w:p w14:paraId="798CB6C5" w14:textId="3972E765" w:rsidR="00323919" w:rsidRPr="009C679F" w:rsidRDefault="00BD0A7E" w:rsidP="00883FED">
            <w:pPr>
              <w:pStyle w:val="TableParagraph"/>
              <w:widowControl/>
              <w:spacing w:after="240"/>
              <w:ind w:left="0"/>
              <w:jc w:val="left"/>
              <w:rPr>
                <w:b/>
                <w:lang w:val="en-GB"/>
              </w:rPr>
            </w:pPr>
            <w:r w:rsidRPr="009C679F">
              <w:rPr>
                <w:b/>
                <w:lang w:val="en-GB"/>
              </w:rPr>
              <w:t>Investment Manage</w:t>
            </w:r>
            <w:r w:rsidR="00241DC0" w:rsidRPr="009C679F">
              <w:rPr>
                <w:b/>
                <w:lang w:val="en-GB"/>
              </w:rPr>
              <w:t xml:space="preserve">ment </w:t>
            </w:r>
            <w:r w:rsidR="00790126" w:rsidRPr="009C679F">
              <w:rPr>
                <w:b/>
                <w:lang w:val="en-GB"/>
              </w:rPr>
              <w:t>Fee</w:t>
            </w:r>
            <w:r w:rsidR="000F6218" w:rsidRPr="009C679F">
              <w:rPr>
                <w:b/>
                <w:lang w:val="en-GB"/>
              </w:rPr>
              <w:t xml:space="preserve"> </w:t>
            </w:r>
            <w:r w:rsidR="00790126" w:rsidRPr="009C679F">
              <w:rPr>
                <w:b/>
                <w:lang w:val="en-GB"/>
              </w:rPr>
              <w:t>(percentage of NAV)</w:t>
            </w:r>
          </w:p>
        </w:tc>
        <w:tc>
          <w:tcPr>
            <w:tcW w:w="1629" w:type="dxa"/>
          </w:tcPr>
          <w:p w14:paraId="264CAF9C" w14:textId="34948884" w:rsidR="00323919" w:rsidRPr="009C679F" w:rsidRDefault="00790126" w:rsidP="00EB23BA">
            <w:pPr>
              <w:pStyle w:val="TableParagraph"/>
              <w:keepNext/>
              <w:widowControl/>
              <w:spacing w:after="240"/>
              <w:ind w:left="0"/>
              <w:jc w:val="left"/>
              <w:rPr>
                <w:lang w:val="en-GB"/>
              </w:rPr>
            </w:pPr>
            <w:r w:rsidRPr="009C679F">
              <w:rPr>
                <w:lang w:val="en-GB"/>
              </w:rPr>
              <w:t>1.00%</w:t>
            </w:r>
            <w:r w:rsidR="00883FED" w:rsidRPr="009C679F">
              <w:rPr>
                <w:lang w:val="en-GB"/>
              </w:rPr>
              <w:t xml:space="preserve"> per annum</w:t>
            </w:r>
            <w:r w:rsidR="001941DC">
              <w:rPr>
                <w:lang w:val="en-GB"/>
              </w:rPr>
              <w:t>.</w:t>
            </w:r>
          </w:p>
        </w:tc>
        <w:tc>
          <w:tcPr>
            <w:tcW w:w="1630" w:type="dxa"/>
          </w:tcPr>
          <w:p w14:paraId="66F9B9E1" w14:textId="4145EFF1" w:rsidR="00323919" w:rsidRPr="009C679F" w:rsidRDefault="000F6218" w:rsidP="00883FED">
            <w:pPr>
              <w:pStyle w:val="TableParagraph"/>
              <w:keepNext/>
              <w:widowControl/>
              <w:spacing w:after="240"/>
              <w:ind w:left="0"/>
              <w:jc w:val="left"/>
              <w:rPr>
                <w:lang w:val="en-GB"/>
              </w:rPr>
            </w:pPr>
            <w:r w:rsidRPr="009C679F">
              <w:rPr>
                <w:lang w:val="en-GB"/>
              </w:rPr>
              <w:t xml:space="preserve">1.25% </w:t>
            </w:r>
            <w:r w:rsidR="00790126" w:rsidRPr="009C679F">
              <w:rPr>
                <w:lang w:val="en-GB"/>
              </w:rPr>
              <w:t>per annum</w:t>
            </w:r>
            <w:r w:rsidR="001941DC">
              <w:rPr>
                <w:lang w:val="en-GB"/>
              </w:rPr>
              <w:t>.</w:t>
            </w:r>
          </w:p>
        </w:tc>
        <w:tc>
          <w:tcPr>
            <w:tcW w:w="1629" w:type="dxa"/>
          </w:tcPr>
          <w:p w14:paraId="155CCE26" w14:textId="3C1CC6F6" w:rsidR="00323919" w:rsidRPr="009C679F" w:rsidRDefault="000F6218" w:rsidP="00883FED">
            <w:pPr>
              <w:pStyle w:val="TableParagraph"/>
              <w:keepNext/>
              <w:widowControl/>
              <w:spacing w:after="240"/>
              <w:ind w:left="0"/>
              <w:jc w:val="left"/>
              <w:rPr>
                <w:lang w:val="en-GB"/>
              </w:rPr>
            </w:pPr>
            <w:r w:rsidRPr="009C679F">
              <w:rPr>
                <w:lang w:val="en-GB"/>
              </w:rPr>
              <w:t xml:space="preserve">1.75% </w:t>
            </w:r>
            <w:r w:rsidR="00790126" w:rsidRPr="009C679F">
              <w:rPr>
                <w:lang w:val="en-GB"/>
              </w:rPr>
              <w:t>per annum.</w:t>
            </w:r>
          </w:p>
        </w:tc>
        <w:tc>
          <w:tcPr>
            <w:tcW w:w="1629" w:type="dxa"/>
          </w:tcPr>
          <w:p w14:paraId="245D4061" w14:textId="6ED2ADED" w:rsidR="00323919" w:rsidRPr="009C679F" w:rsidRDefault="00790126" w:rsidP="00883FED">
            <w:pPr>
              <w:pStyle w:val="TableParagraph"/>
              <w:keepNext/>
              <w:widowControl/>
              <w:spacing w:after="240"/>
              <w:ind w:left="0"/>
              <w:jc w:val="left"/>
              <w:rPr>
                <w:lang w:val="en-GB"/>
              </w:rPr>
            </w:pPr>
            <w:r w:rsidRPr="009C679F">
              <w:rPr>
                <w:lang w:val="en-GB"/>
              </w:rPr>
              <w:t>1.</w:t>
            </w:r>
            <w:r w:rsidR="00994495">
              <w:rPr>
                <w:lang w:val="en-GB"/>
              </w:rPr>
              <w:t>7</w:t>
            </w:r>
            <w:r>
              <w:rPr>
                <w:lang w:val="en-GB"/>
              </w:rPr>
              <w:t>5</w:t>
            </w:r>
            <w:r w:rsidRPr="009C679F">
              <w:rPr>
                <w:lang w:val="en-GB"/>
              </w:rPr>
              <w:t>%</w:t>
            </w:r>
            <w:r w:rsidR="002B2674" w:rsidRPr="009C679F">
              <w:rPr>
                <w:lang w:val="en-GB"/>
              </w:rPr>
              <w:t xml:space="preserve"> </w:t>
            </w:r>
            <w:r w:rsidRPr="009C679F">
              <w:rPr>
                <w:lang w:val="en-GB"/>
              </w:rPr>
              <w:t>per annum.</w:t>
            </w:r>
          </w:p>
        </w:tc>
        <w:tc>
          <w:tcPr>
            <w:tcW w:w="1630" w:type="dxa"/>
          </w:tcPr>
          <w:p w14:paraId="287B8209" w14:textId="77777777" w:rsidR="00323919" w:rsidRPr="009C679F" w:rsidRDefault="00790126" w:rsidP="00883FED">
            <w:pPr>
              <w:pStyle w:val="TableParagraph"/>
              <w:keepNext/>
              <w:widowControl/>
              <w:spacing w:after="240"/>
              <w:ind w:left="0"/>
              <w:jc w:val="left"/>
              <w:rPr>
                <w:lang w:val="en-GB"/>
              </w:rPr>
            </w:pPr>
            <w:r w:rsidRPr="009C679F">
              <w:rPr>
                <w:lang w:val="en-GB"/>
              </w:rPr>
              <w:t>2% per annum.</w:t>
            </w:r>
          </w:p>
        </w:tc>
      </w:tr>
      <w:tr w:rsidR="006A484E" w:rsidRPr="009C679F" w14:paraId="798AF93F" w14:textId="77777777" w:rsidTr="005116AD">
        <w:trPr>
          <w:trHeight w:val="551"/>
        </w:trPr>
        <w:tc>
          <w:tcPr>
            <w:tcW w:w="1629" w:type="dxa"/>
          </w:tcPr>
          <w:p w14:paraId="7EECF1CA" w14:textId="77777777" w:rsidR="00323919" w:rsidRPr="009C679F" w:rsidRDefault="00790126" w:rsidP="00883FED">
            <w:pPr>
              <w:pStyle w:val="TableParagraph"/>
              <w:widowControl/>
              <w:spacing w:after="240"/>
              <w:ind w:left="0"/>
              <w:jc w:val="left"/>
              <w:rPr>
                <w:b/>
                <w:lang w:val="en-GB"/>
              </w:rPr>
            </w:pPr>
            <w:r w:rsidRPr="009C679F">
              <w:rPr>
                <w:b/>
                <w:lang w:val="en-GB"/>
              </w:rPr>
              <w:t>Performance Fee – Relevant Percentage</w:t>
            </w:r>
          </w:p>
        </w:tc>
        <w:tc>
          <w:tcPr>
            <w:tcW w:w="1629" w:type="dxa"/>
          </w:tcPr>
          <w:p w14:paraId="57063CA6" w14:textId="24ACD6A2" w:rsidR="00323919" w:rsidRPr="009C679F" w:rsidRDefault="0064314B" w:rsidP="00883FED">
            <w:pPr>
              <w:pStyle w:val="TableParagraph"/>
              <w:keepNext/>
              <w:widowControl/>
              <w:spacing w:after="240"/>
              <w:ind w:left="0"/>
              <w:jc w:val="left"/>
              <w:rPr>
                <w:lang w:val="en-GB"/>
              </w:rPr>
            </w:pPr>
            <w:r w:rsidRPr="009C679F">
              <w:rPr>
                <w:lang w:val="en-GB"/>
              </w:rPr>
              <w:t>Not applicable.</w:t>
            </w:r>
          </w:p>
        </w:tc>
        <w:tc>
          <w:tcPr>
            <w:tcW w:w="1630" w:type="dxa"/>
          </w:tcPr>
          <w:p w14:paraId="46B32729" w14:textId="48B0F91A" w:rsidR="00323919" w:rsidRPr="009C679F" w:rsidRDefault="000F6218" w:rsidP="00883FED">
            <w:pPr>
              <w:pStyle w:val="TableParagraph"/>
              <w:keepNext/>
              <w:widowControl/>
              <w:spacing w:after="240"/>
              <w:ind w:left="0"/>
              <w:jc w:val="left"/>
              <w:rPr>
                <w:lang w:val="en-GB"/>
              </w:rPr>
            </w:pPr>
            <w:r w:rsidRPr="009C679F">
              <w:rPr>
                <w:lang w:val="en-GB"/>
              </w:rPr>
              <w:t xml:space="preserve">15% </w:t>
            </w:r>
            <w:r w:rsidR="00790126" w:rsidRPr="009C679F">
              <w:rPr>
                <w:lang w:val="en-GB"/>
              </w:rPr>
              <w:t>calculated on</w:t>
            </w:r>
            <w:r w:rsidRPr="009C679F">
              <w:rPr>
                <w:lang w:val="en-GB"/>
              </w:rPr>
              <w:t xml:space="preserve"> </w:t>
            </w:r>
            <w:r w:rsidR="008616AE">
              <w:rPr>
                <w:lang w:val="en-GB"/>
              </w:rPr>
              <w:t>a Class level</w:t>
            </w:r>
            <w:r w:rsidR="00790126" w:rsidRPr="009C679F">
              <w:rPr>
                <w:lang w:val="en-GB"/>
              </w:rPr>
              <w:t xml:space="preserve"> basis.</w:t>
            </w:r>
          </w:p>
        </w:tc>
        <w:tc>
          <w:tcPr>
            <w:tcW w:w="1629" w:type="dxa"/>
          </w:tcPr>
          <w:p w14:paraId="61F22E87" w14:textId="77777777" w:rsidR="00323919" w:rsidRPr="009C679F" w:rsidRDefault="00790126" w:rsidP="00883FED">
            <w:pPr>
              <w:pStyle w:val="TableParagraph"/>
              <w:keepNext/>
              <w:widowControl/>
              <w:spacing w:after="240"/>
              <w:ind w:left="0"/>
              <w:jc w:val="left"/>
              <w:rPr>
                <w:lang w:val="en-GB"/>
              </w:rPr>
            </w:pPr>
            <w:r w:rsidRPr="009C679F">
              <w:rPr>
                <w:lang w:val="en-GB"/>
              </w:rPr>
              <w:t>15% calculated on a Class level basis.</w:t>
            </w:r>
          </w:p>
        </w:tc>
        <w:tc>
          <w:tcPr>
            <w:tcW w:w="1629" w:type="dxa"/>
          </w:tcPr>
          <w:p w14:paraId="22EFDAB2" w14:textId="48512B38" w:rsidR="00323919" w:rsidRPr="009C679F" w:rsidRDefault="00994495" w:rsidP="00883FED">
            <w:pPr>
              <w:pStyle w:val="TableParagraph"/>
              <w:keepNext/>
              <w:widowControl/>
              <w:spacing w:after="240"/>
              <w:ind w:left="0"/>
              <w:jc w:val="left"/>
              <w:rPr>
                <w:lang w:val="en-GB"/>
              </w:rPr>
            </w:pPr>
            <w:r>
              <w:rPr>
                <w:lang w:val="en-GB"/>
              </w:rPr>
              <w:t>Not applicable.</w:t>
            </w:r>
          </w:p>
        </w:tc>
        <w:tc>
          <w:tcPr>
            <w:tcW w:w="1630" w:type="dxa"/>
          </w:tcPr>
          <w:p w14:paraId="66A5967C" w14:textId="77777777" w:rsidR="00323919" w:rsidRPr="009C679F" w:rsidRDefault="00790126" w:rsidP="00883FED">
            <w:pPr>
              <w:pStyle w:val="TableParagraph"/>
              <w:keepNext/>
              <w:widowControl/>
              <w:spacing w:after="240"/>
              <w:ind w:left="0"/>
              <w:jc w:val="left"/>
              <w:rPr>
                <w:lang w:val="en-GB"/>
              </w:rPr>
            </w:pPr>
            <w:r w:rsidRPr="009C679F">
              <w:rPr>
                <w:lang w:val="en-GB"/>
              </w:rPr>
              <w:t>20% calculated on a Class level basis.</w:t>
            </w:r>
          </w:p>
        </w:tc>
      </w:tr>
      <w:tr w:rsidR="006A484E" w:rsidRPr="009C679F" w14:paraId="1D2923FC" w14:textId="77777777" w:rsidTr="005116AD">
        <w:trPr>
          <w:trHeight w:val="1742"/>
        </w:trPr>
        <w:tc>
          <w:tcPr>
            <w:tcW w:w="1629" w:type="dxa"/>
          </w:tcPr>
          <w:p w14:paraId="148B6224" w14:textId="4D3758E8" w:rsidR="00323919" w:rsidRPr="009C679F" w:rsidRDefault="00B2213C" w:rsidP="00883FED">
            <w:pPr>
              <w:pStyle w:val="TableParagraph"/>
              <w:widowControl/>
              <w:spacing w:after="240"/>
              <w:ind w:left="0"/>
              <w:jc w:val="left"/>
              <w:rPr>
                <w:b/>
                <w:lang w:val="en-GB"/>
              </w:rPr>
            </w:pPr>
            <w:r>
              <w:rPr>
                <w:b/>
                <w:lang w:val="en-GB"/>
              </w:rPr>
              <w:t>Performance Period</w:t>
            </w:r>
            <w:r w:rsidR="00E44B8C">
              <w:rPr>
                <w:b/>
                <w:lang w:val="en-GB"/>
              </w:rPr>
              <w:t xml:space="preserve"> following the first </w:t>
            </w:r>
            <w:r w:rsidR="00790126" w:rsidRPr="009C679F">
              <w:rPr>
                <w:b/>
                <w:lang w:val="en-GB"/>
              </w:rPr>
              <w:t xml:space="preserve">Performance Period (with the first Performance Period commencing </w:t>
            </w:r>
            <w:r w:rsidR="001B59B4">
              <w:rPr>
                <w:b/>
                <w:lang w:val="en-GB"/>
              </w:rPr>
              <w:t>at</w:t>
            </w:r>
            <w:r w:rsidR="000F6218" w:rsidRPr="009C679F">
              <w:rPr>
                <w:b/>
                <w:lang w:val="en-GB"/>
              </w:rPr>
              <w:t xml:space="preserve"> </w:t>
            </w:r>
            <w:r w:rsidR="00790126" w:rsidRPr="009C679F">
              <w:rPr>
                <w:b/>
                <w:lang w:val="en-GB"/>
              </w:rPr>
              <w:t>the</w:t>
            </w:r>
            <w:r w:rsidR="002B2674" w:rsidRPr="009C679F">
              <w:rPr>
                <w:b/>
                <w:lang w:val="en-GB"/>
              </w:rPr>
              <w:t xml:space="preserve"> </w:t>
            </w:r>
            <w:r>
              <w:rPr>
                <w:b/>
                <w:lang w:val="en-GB"/>
              </w:rPr>
              <w:t>end of the Initial Offer Period</w:t>
            </w:r>
            <w:r w:rsidR="00790126" w:rsidRPr="009C679F">
              <w:rPr>
                <w:b/>
                <w:lang w:val="en-GB"/>
              </w:rPr>
              <w:t>)</w:t>
            </w:r>
          </w:p>
        </w:tc>
        <w:tc>
          <w:tcPr>
            <w:tcW w:w="1629" w:type="dxa"/>
          </w:tcPr>
          <w:p w14:paraId="4240C55C" w14:textId="09ABA2C3" w:rsidR="00323919" w:rsidRPr="009C679F" w:rsidRDefault="0064314B" w:rsidP="00883FED">
            <w:pPr>
              <w:pStyle w:val="TableParagraph"/>
              <w:keepNext/>
              <w:widowControl/>
              <w:spacing w:after="240"/>
              <w:ind w:left="0"/>
              <w:jc w:val="left"/>
              <w:rPr>
                <w:lang w:val="en-GB"/>
              </w:rPr>
            </w:pPr>
            <w:r w:rsidRPr="009C679F">
              <w:rPr>
                <w:lang w:val="en-GB"/>
              </w:rPr>
              <w:t>Not applicable.</w:t>
            </w:r>
          </w:p>
        </w:tc>
        <w:tc>
          <w:tcPr>
            <w:tcW w:w="1630" w:type="dxa"/>
          </w:tcPr>
          <w:p w14:paraId="49E042CC" w14:textId="03A74FAF" w:rsidR="00323919" w:rsidRPr="009C679F" w:rsidRDefault="00F621F3" w:rsidP="00883FED">
            <w:pPr>
              <w:pStyle w:val="TableParagraph"/>
              <w:keepNext/>
              <w:widowControl/>
              <w:spacing w:after="240"/>
              <w:ind w:left="0"/>
              <w:jc w:val="left"/>
              <w:rPr>
                <w:lang w:val="en-GB"/>
              </w:rPr>
            </w:pPr>
            <w:r w:rsidRPr="009C679F">
              <w:rPr>
                <w:lang w:val="en-GB"/>
              </w:rPr>
              <w:t>Annually</w:t>
            </w:r>
            <w:r w:rsidR="00B2213C">
              <w:rPr>
                <w:lang w:val="en-GB"/>
              </w:rPr>
              <w:t>, from 1 January to 31 December of each year</w:t>
            </w:r>
            <w:r w:rsidR="00790126" w:rsidRPr="009C679F">
              <w:rPr>
                <w:lang w:val="en-GB"/>
              </w:rPr>
              <w:t>.</w:t>
            </w:r>
          </w:p>
        </w:tc>
        <w:tc>
          <w:tcPr>
            <w:tcW w:w="1629" w:type="dxa"/>
          </w:tcPr>
          <w:p w14:paraId="3B6F66EC" w14:textId="44A8AC6A" w:rsidR="00323919" w:rsidRPr="009C679F" w:rsidRDefault="00F621F3" w:rsidP="00883FED">
            <w:pPr>
              <w:pStyle w:val="TableParagraph"/>
              <w:keepNext/>
              <w:widowControl/>
              <w:spacing w:after="240"/>
              <w:ind w:left="0"/>
              <w:jc w:val="left"/>
              <w:rPr>
                <w:lang w:val="en-GB"/>
              </w:rPr>
            </w:pPr>
            <w:r w:rsidRPr="009C679F">
              <w:rPr>
                <w:lang w:val="en-GB"/>
              </w:rPr>
              <w:t>Annually</w:t>
            </w:r>
            <w:r w:rsidR="00B2213C">
              <w:rPr>
                <w:lang w:val="en-GB"/>
              </w:rPr>
              <w:t>, from 1 January to 31 December of each year</w:t>
            </w:r>
            <w:r w:rsidR="00790126" w:rsidRPr="009C679F">
              <w:rPr>
                <w:lang w:val="en-GB"/>
              </w:rPr>
              <w:t>.</w:t>
            </w:r>
          </w:p>
        </w:tc>
        <w:tc>
          <w:tcPr>
            <w:tcW w:w="1629" w:type="dxa"/>
          </w:tcPr>
          <w:p w14:paraId="3BCC4B45" w14:textId="32D342B3" w:rsidR="00323919" w:rsidRPr="009C679F" w:rsidRDefault="00994495" w:rsidP="00883FED">
            <w:pPr>
              <w:pStyle w:val="TableParagraph"/>
              <w:keepNext/>
              <w:widowControl/>
              <w:spacing w:after="240"/>
              <w:ind w:left="0"/>
              <w:jc w:val="left"/>
              <w:rPr>
                <w:lang w:val="en-GB"/>
              </w:rPr>
            </w:pPr>
            <w:r>
              <w:rPr>
                <w:lang w:val="en-GB"/>
              </w:rPr>
              <w:t>Not applicable.</w:t>
            </w:r>
          </w:p>
        </w:tc>
        <w:tc>
          <w:tcPr>
            <w:tcW w:w="1630" w:type="dxa"/>
          </w:tcPr>
          <w:p w14:paraId="2770603F" w14:textId="7A791009" w:rsidR="00323919" w:rsidRPr="009C679F" w:rsidRDefault="00F621F3" w:rsidP="00883FED">
            <w:pPr>
              <w:pStyle w:val="TableParagraph"/>
              <w:keepNext/>
              <w:widowControl/>
              <w:spacing w:after="240"/>
              <w:ind w:left="0"/>
              <w:jc w:val="left"/>
              <w:rPr>
                <w:lang w:val="en-GB"/>
              </w:rPr>
            </w:pPr>
            <w:r w:rsidRPr="009C679F">
              <w:rPr>
                <w:lang w:val="en-GB"/>
              </w:rPr>
              <w:t>Annually</w:t>
            </w:r>
            <w:r w:rsidR="00B2213C">
              <w:rPr>
                <w:lang w:val="en-GB"/>
              </w:rPr>
              <w:t>, from 1 January to 31 December of each year</w:t>
            </w:r>
            <w:r w:rsidR="00790126" w:rsidRPr="009C679F">
              <w:rPr>
                <w:lang w:val="en-GB"/>
              </w:rPr>
              <w:t>.</w:t>
            </w:r>
          </w:p>
        </w:tc>
      </w:tr>
      <w:tr w:rsidR="006A484E" w:rsidRPr="009C679F" w14:paraId="50FCC998" w14:textId="77777777" w:rsidTr="005116AD">
        <w:trPr>
          <w:trHeight w:val="1970"/>
        </w:trPr>
        <w:tc>
          <w:tcPr>
            <w:tcW w:w="1629" w:type="dxa"/>
          </w:tcPr>
          <w:p w14:paraId="5DB730C0" w14:textId="29998C8F" w:rsidR="00323919" w:rsidRPr="009C679F" w:rsidRDefault="00790126" w:rsidP="00883FED">
            <w:pPr>
              <w:pStyle w:val="TableParagraph"/>
              <w:widowControl/>
              <w:spacing w:after="240"/>
              <w:ind w:left="0"/>
              <w:jc w:val="left"/>
              <w:rPr>
                <w:b/>
                <w:lang w:val="en-GB"/>
              </w:rPr>
            </w:pPr>
            <w:r w:rsidRPr="009C679F">
              <w:rPr>
                <w:b/>
                <w:lang w:val="en-GB"/>
              </w:rPr>
              <w:t>Hedging (please</w:t>
            </w:r>
            <w:r w:rsidR="000F6218" w:rsidRPr="009C679F">
              <w:rPr>
                <w:b/>
                <w:lang w:val="en-GB"/>
              </w:rPr>
              <w:t xml:space="preserve"> </w:t>
            </w:r>
            <w:r w:rsidRPr="009C679F">
              <w:rPr>
                <w:b/>
                <w:lang w:val="en-GB"/>
              </w:rPr>
              <w:t xml:space="preserve">see </w:t>
            </w:r>
            <w:r w:rsidR="000F6218" w:rsidRPr="009C679F">
              <w:rPr>
                <w:b/>
                <w:lang w:val="en-GB"/>
              </w:rPr>
              <w:t xml:space="preserve">disclosures </w:t>
            </w:r>
            <w:r w:rsidRPr="009C679F">
              <w:rPr>
                <w:b/>
                <w:lang w:val="en-GB"/>
              </w:rPr>
              <w:t xml:space="preserve">in </w:t>
            </w:r>
            <w:r w:rsidR="000F6218" w:rsidRPr="009C679F">
              <w:rPr>
                <w:b/>
                <w:lang w:val="en-GB"/>
              </w:rPr>
              <w:t xml:space="preserve">the Prospectus for </w:t>
            </w:r>
            <w:r w:rsidRPr="009C679F">
              <w:rPr>
                <w:b/>
                <w:lang w:val="en-GB"/>
              </w:rPr>
              <w:t>more information regarding</w:t>
            </w:r>
            <w:r w:rsidR="000F6218" w:rsidRPr="009C679F">
              <w:rPr>
                <w:b/>
                <w:lang w:val="en-GB"/>
              </w:rPr>
              <w:t xml:space="preserve"> </w:t>
            </w:r>
            <w:r w:rsidRPr="009C679F">
              <w:rPr>
                <w:b/>
                <w:lang w:val="en-GB"/>
              </w:rPr>
              <w:t>hedged Classes)</w:t>
            </w:r>
          </w:p>
        </w:tc>
        <w:tc>
          <w:tcPr>
            <w:tcW w:w="1629" w:type="dxa"/>
          </w:tcPr>
          <w:p w14:paraId="57D62EFC" w14:textId="77777777" w:rsidR="00323919" w:rsidRPr="009C679F" w:rsidRDefault="00790126" w:rsidP="00883FED">
            <w:pPr>
              <w:pStyle w:val="TableParagraph"/>
              <w:keepNext/>
              <w:widowControl/>
              <w:spacing w:after="240"/>
              <w:ind w:left="0"/>
              <w:jc w:val="left"/>
              <w:rPr>
                <w:lang w:val="en-GB"/>
              </w:rPr>
            </w:pPr>
            <w:r w:rsidRPr="009C679F">
              <w:rPr>
                <w:lang w:val="en-GB"/>
              </w:rPr>
              <w:t>No.</w:t>
            </w:r>
          </w:p>
        </w:tc>
        <w:tc>
          <w:tcPr>
            <w:tcW w:w="1630" w:type="dxa"/>
          </w:tcPr>
          <w:p w14:paraId="4ED54F57" w14:textId="77777777" w:rsidR="00323919" w:rsidRPr="009C679F" w:rsidRDefault="00790126" w:rsidP="00883FED">
            <w:pPr>
              <w:pStyle w:val="TableParagraph"/>
              <w:keepNext/>
              <w:widowControl/>
              <w:spacing w:after="240"/>
              <w:ind w:left="0"/>
              <w:jc w:val="left"/>
              <w:rPr>
                <w:lang w:val="en-GB"/>
              </w:rPr>
            </w:pPr>
            <w:r w:rsidRPr="009C679F">
              <w:rPr>
                <w:lang w:val="en-GB"/>
              </w:rPr>
              <w:t>No.</w:t>
            </w:r>
          </w:p>
        </w:tc>
        <w:tc>
          <w:tcPr>
            <w:tcW w:w="1629" w:type="dxa"/>
          </w:tcPr>
          <w:p w14:paraId="6851959E" w14:textId="6B292EE2" w:rsidR="00323919" w:rsidRPr="009C679F" w:rsidRDefault="000F6218" w:rsidP="00883FED">
            <w:pPr>
              <w:pStyle w:val="TableParagraph"/>
              <w:keepNext/>
              <w:widowControl/>
              <w:spacing w:after="240"/>
              <w:ind w:left="0"/>
              <w:jc w:val="left"/>
              <w:rPr>
                <w:lang w:val="en-GB"/>
              </w:rPr>
            </w:pPr>
            <w:r w:rsidRPr="009C679F">
              <w:rPr>
                <w:lang w:val="en-GB"/>
              </w:rPr>
              <w:t xml:space="preserve">Yes, </w:t>
            </w:r>
            <w:r w:rsidR="00790126" w:rsidRPr="009C679F">
              <w:rPr>
                <w:lang w:val="en-GB"/>
              </w:rPr>
              <w:t>in</w:t>
            </w:r>
            <w:r w:rsidRPr="009C679F">
              <w:rPr>
                <w:lang w:val="en-GB"/>
              </w:rPr>
              <w:t xml:space="preserve"> </w:t>
            </w:r>
            <w:r w:rsidR="00790126" w:rsidRPr="009C679F">
              <w:rPr>
                <w:lang w:val="en-GB"/>
              </w:rPr>
              <w:t xml:space="preserve">GBP, </w:t>
            </w:r>
            <w:r w:rsidRPr="009C679F">
              <w:rPr>
                <w:lang w:val="en-GB"/>
              </w:rPr>
              <w:t xml:space="preserve">Euro, </w:t>
            </w:r>
            <w:r w:rsidR="00790126" w:rsidRPr="009C679F">
              <w:rPr>
                <w:lang w:val="en-GB"/>
              </w:rPr>
              <w:t>Singapore Dollar</w:t>
            </w:r>
            <w:r w:rsidR="00883FED" w:rsidRPr="009C679F">
              <w:rPr>
                <w:lang w:val="en-GB"/>
              </w:rPr>
              <w:t xml:space="preserve"> and JPY</w:t>
            </w:r>
            <w:r w:rsidR="00790126" w:rsidRPr="009C679F">
              <w:rPr>
                <w:lang w:val="en-GB"/>
              </w:rPr>
              <w:t>.</w:t>
            </w:r>
          </w:p>
        </w:tc>
        <w:tc>
          <w:tcPr>
            <w:tcW w:w="1629" w:type="dxa"/>
          </w:tcPr>
          <w:p w14:paraId="1CE5C683" w14:textId="77777777" w:rsidR="00323919" w:rsidRPr="009C679F" w:rsidRDefault="00790126" w:rsidP="00883FED">
            <w:pPr>
              <w:pStyle w:val="TableParagraph"/>
              <w:keepNext/>
              <w:widowControl/>
              <w:spacing w:after="240"/>
              <w:ind w:left="0"/>
              <w:jc w:val="left"/>
              <w:rPr>
                <w:lang w:val="en-GB"/>
              </w:rPr>
            </w:pPr>
            <w:r w:rsidRPr="009C679F">
              <w:rPr>
                <w:lang w:val="en-GB"/>
              </w:rPr>
              <w:t>Yes, in GBP.</w:t>
            </w:r>
          </w:p>
        </w:tc>
        <w:tc>
          <w:tcPr>
            <w:tcW w:w="1630" w:type="dxa"/>
          </w:tcPr>
          <w:p w14:paraId="35FD4996" w14:textId="11693550" w:rsidR="00323919" w:rsidRPr="009C679F" w:rsidRDefault="00790126" w:rsidP="00883FED">
            <w:pPr>
              <w:pStyle w:val="TableParagraph"/>
              <w:keepNext/>
              <w:widowControl/>
              <w:spacing w:after="240"/>
              <w:ind w:left="0"/>
              <w:jc w:val="left"/>
              <w:rPr>
                <w:lang w:val="en-GB"/>
              </w:rPr>
            </w:pPr>
            <w:r w:rsidRPr="009C679F">
              <w:rPr>
                <w:lang w:val="en-GB"/>
              </w:rPr>
              <w:t>Yes, in GBP</w:t>
            </w:r>
            <w:r w:rsidR="000D1875" w:rsidRPr="009C679F">
              <w:rPr>
                <w:lang w:val="en-GB"/>
              </w:rPr>
              <w:t xml:space="preserve">, </w:t>
            </w:r>
            <w:r w:rsidR="00883FED" w:rsidRPr="009C679F">
              <w:rPr>
                <w:lang w:val="en-GB"/>
              </w:rPr>
              <w:t xml:space="preserve">JPY and </w:t>
            </w:r>
            <w:r w:rsidR="000D1875" w:rsidRPr="009C679F">
              <w:rPr>
                <w:lang w:val="en-GB"/>
              </w:rPr>
              <w:t>Euro</w:t>
            </w:r>
            <w:r w:rsidR="001941DC">
              <w:rPr>
                <w:lang w:val="en-GB"/>
              </w:rPr>
              <w:t>.</w:t>
            </w:r>
          </w:p>
        </w:tc>
      </w:tr>
      <w:tr w:rsidR="006A484E" w:rsidRPr="009C679F" w14:paraId="32CB1F0C" w14:textId="77777777" w:rsidTr="005116AD">
        <w:trPr>
          <w:trHeight w:val="2400"/>
        </w:trPr>
        <w:tc>
          <w:tcPr>
            <w:tcW w:w="1629" w:type="dxa"/>
          </w:tcPr>
          <w:p w14:paraId="0CCEBEB6" w14:textId="77777777" w:rsidR="00323919" w:rsidRPr="009C679F" w:rsidRDefault="00790126" w:rsidP="00883FED">
            <w:pPr>
              <w:pStyle w:val="TableParagraph"/>
              <w:widowControl/>
              <w:spacing w:after="240"/>
              <w:ind w:left="0"/>
              <w:jc w:val="left"/>
              <w:rPr>
                <w:b/>
                <w:lang w:val="en-GB"/>
              </w:rPr>
            </w:pPr>
            <w:r w:rsidRPr="009C679F">
              <w:rPr>
                <w:b/>
                <w:lang w:val="en-GB"/>
              </w:rPr>
              <w:lastRenderedPageBreak/>
              <w:t>Subscription Fee</w:t>
            </w:r>
          </w:p>
        </w:tc>
        <w:tc>
          <w:tcPr>
            <w:tcW w:w="1629" w:type="dxa"/>
          </w:tcPr>
          <w:p w14:paraId="72771492" w14:textId="77777777" w:rsidR="00323919" w:rsidRPr="009C679F" w:rsidRDefault="00790126" w:rsidP="00883FED">
            <w:pPr>
              <w:pStyle w:val="TableParagraph"/>
              <w:keepNext/>
              <w:widowControl/>
              <w:spacing w:after="240"/>
              <w:ind w:left="0"/>
              <w:jc w:val="left"/>
              <w:rPr>
                <w:lang w:val="en-GB"/>
              </w:rPr>
            </w:pPr>
            <w:r w:rsidRPr="009C679F">
              <w:rPr>
                <w:lang w:val="en-GB"/>
              </w:rPr>
              <w:t>Not currently charged.</w:t>
            </w:r>
          </w:p>
        </w:tc>
        <w:tc>
          <w:tcPr>
            <w:tcW w:w="1630" w:type="dxa"/>
          </w:tcPr>
          <w:p w14:paraId="5D5D17AE" w14:textId="209DAF9F" w:rsidR="00323919" w:rsidRPr="009C679F" w:rsidRDefault="00790126" w:rsidP="00883FED">
            <w:pPr>
              <w:pStyle w:val="TableParagraph"/>
              <w:keepNext/>
              <w:widowControl/>
              <w:spacing w:after="240"/>
              <w:ind w:left="0"/>
              <w:jc w:val="left"/>
              <w:rPr>
                <w:lang w:val="en-GB"/>
              </w:rPr>
            </w:pPr>
            <w:r w:rsidRPr="009C679F">
              <w:rPr>
                <w:lang w:val="en-GB"/>
              </w:rPr>
              <w:t>Not</w:t>
            </w:r>
            <w:r w:rsidR="002B2674" w:rsidRPr="009C679F">
              <w:rPr>
                <w:lang w:val="en-GB"/>
              </w:rPr>
              <w:t xml:space="preserve"> </w:t>
            </w:r>
            <w:r w:rsidRPr="009C679F">
              <w:rPr>
                <w:lang w:val="en-GB"/>
              </w:rPr>
              <w:t>currently charged.</w:t>
            </w:r>
          </w:p>
        </w:tc>
        <w:tc>
          <w:tcPr>
            <w:tcW w:w="1629" w:type="dxa"/>
          </w:tcPr>
          <w:p w14:paraId="576244C1" w14:textId="54585E85" w:rsidR="00323919" w:rsidRPr="009C679F" w:rsidRDefault="002B2674" w:rsidP="00883FED">
            <w:pPr>
              <w:pStyle w:val="TableParagraph"/>
              <w:keepNext/>
              <w:widowControl/>
              <w:spacing w:after="240"/>
              <w:ind w:left="0"/>
              <w:jc w:val="left"/>
              <w:rPr>
                <w:lang w:val="en-GB"/>
              </w:rPr>
            </w:pPr>
            <w:r w:rsidRPr="009C679F">
              <w:rPr>
                <w:lang w:val="en-GB"/>
              </w:rPr>
              <w:t xml:space="preserve">Up </w:t>
            </w:r>
            <w:r w:rsidR="00790126" w:rsidRPr="009C679F">
              <w:rPr>
                <w:lang w:val="en-GB"/>
              </w:rPr>
              <w:t>to</w:t>
            </w:r>
            <w:r w:rsidRPr="009C679F">
              <w:rPr>
                <w:lang w:val="en-GB"/>
              </w:rPr>
              <w:t xml:space="preserve"> </w:t>
            </w:r>
            <w:r w:rsidR="00790126" w:rsidRPr="009C679F">
              <w:rPr>
                <w:lang w:val="en-GB"/>
              </w:rPr>
              <w:t>5%</w:t>
            </w:r>
            <w:r w:rsidRPr="009C679F">
              <w:rPr>
                <w:lang w:val="en-GB"/>
              </w:rPr>
              <w:t xml:space="preserve"> </w:t>
            </w:r>
            <w:r w:rsidR="00790126" w:rsidRPr="009C679F">
              <w:rPr>
                <w:lang w:val="en-GB"/>
              </w:rPr>
              <w:t>of subscription monies.</w:t>
            </w:r>
          </w:p>
        </w:tc>
        <w:tc>
          <w:tcPr>
            <w:tcW w:w="1629" w:type="dxa"/>
          </w:tcPr>
          <w:p w14:paraId="6FF47215" w14:textId="77777777" w:rsidR="00323919" w:rsidRPr="009C679F" w:rsidRDefault="00790126" w:rsidP="00883FED">
            <w:pPr>
              <w:pStyle w:val="TableParagraph"/>
              <w:keepNext/>
              <w:widowControl/>
              <w:spacing w:after="240"/>
              <w:ind w:left="0"/>
              <w:jc w:val="left"/>
              <w:rPr>
                <w:lang w:val="en-GB"/>
              </w:rPr>
            </w:pPr>
            <w:r w:rsidRPr="009C679F">
              <w:rPr>
                <w:lang w:val="en-GB"/>
              </w:rPr>
              <w:t>Up to 5% of subscription monies.</w:t>
            </w:r>
          </w:p>
        </w:tc>
        <w:tc>
          <w:tcPr>
            <w:tcW w:w="1630" w:type="dxa"/>
          </w:tcPr>
          <w:p w14:paraId="1F0C37F3" w14:textId="0C107C89" w:rsidR="00323919" w:rsidRPr="009C679F" w:rsidRDefault="00790126" w:rsidP="00883FED">
            <w:pPr>
              <w:pStyle w:val="TableParagraph"/>
              <w:keepNext/>
              <w:widowControl/>
              <w:spacing w:after="240"/>
              <w:ind w:left="0"/>
              <w:jc w:val="left"/>
              <w:rPr>
                <w:lang w:val="en-GB"/>
              </w:rPr>
            </w:pPr>
            <w:r w:rsidRPr="009C679F">
              <w:rPr>
                <w:lang w:val="en-GB"/>
              </w:rPr>
              <w:t>A</w:t>
            </w:r>
            <w:r w:rsidR="002B2674" w:rsidRPr="009C679F">
              <w:rPr>
                <w:lang w:val="en-GB"/>
              </w:rPr>
              <w:t xml:space="preserve"> </w:t>
            </w:r>
            <w:r w:rsidRPr="009C679F">
              <w:rPr>
                <w:lang w:val="en-GB"/>
              </w:rPr>
              <w:t>contingent deferred subscription charge may be payable</w:t>
            </w:r>
            <w:r w:rsidR="002B2674" w:rsidRPr="009C679F">
              <w:rPr>
                <w:lang w:val="en-GB"/>
              </w:rPr>
              <w:t xml:space="preserve"> </w:t>
            </w:r>
            <w:r w:rsidRPr="009C679F">
              <w:rPr>
                <w:lang w:val="en-GB"/>
              </w:rPr>
              <w:t>in</w:t>
            </w:r>
            <w:r w:rsidR="002B2674" w:rsidRPr="009C679F">
              <w:rPr>
                <w:lang w:val="en-GB"/>
              </w:rPr>
              <w:t xml:space="preserve"> r</w:t>
            </w:r>
            <w:r w:rsidRPr="009C679F">
              <w:rPr>
                <w:lang w:val="en-GB"/>
              </w:rPr>
              <w:t>espect</w:t>
            </w:r>
            <w:r w:rsidR="002B2674" w:rsidRPr="009C679F">
              <w:rPr>
                <w:lang w:val="en-GB"/>
              </w:rPr>
              <w:t xml:space="preserve"> </w:t>
            </w:r>
            <w:r w:rsidRPr="009C679F">
              <w:rPr>
                <w:lang w:val="en-GB"/>
              </w:rPr>
              <w:t>of subscriptions for this Class, further details of which are set out</w:t>
            </w:r>
            <w:r w:rsidR="002B2674" w:rsidRPr="009C679F">
              <w:rPr>
                <w:lang w:val="en-GB"/>
              </w:rPr>
              <w:t xml:space="preserve"> </w:t>
            </w:r>
            <w:r w:rsidRPr="009C679F">
              <w:rPr>
                <w:lang w:val="en-GB"/>
              </w:rPr>
              <w:t>below.</w:t>
            </w:r>
          </w:p>
        </w:tc>
      </w:tr>
      <w:tr w:rsidR="006A484E" w:rsidRPr="009C679F" w14:paraId="1BE181C8" w14:textId="77777777" w:rsidTr="005116AD">
        <w:trPr>
          <w:trHeight w:val="500"/>
        </w:trPr>
        <w:tc>
          <w:tcPr>
            <w:tcW w:w="1629" w:type="dxa"/>
          </w:tcPr>
          <w:p w14:paraId="3572EAEC" w14:textId="77777777" w:rsidR="00323919" w:rsidRPr="009C679F" w:rsidRDefault="00790126" w:rsidP="00883FED">
            <w:pPr>
              <w:pStyle w:val="TableParagraph"/>
              <w:widowControl/>
              <w:spacing w:after="240"/>
              <w:ind w:left="0"/>
              <w:jc w:val="left"/>
              <w:rPr>
                <w:b/>
                <w:lang w:val="en-GB"/>
              </w:rPr>
            </w:pPr>
            <w:r w:rsidRPr="009C679F">
              <w:rPr>
                <w:b/>
                <w:lang w:val="en-GB"/>
              </w:rPr>
              <w:t>Redemption Fee</w:t>
            </w:r>
          </w:p>
        </w:tc>
        <w:tc>
          <w:tcPr>
            <w:tcW w:w="1629" w:type="dxa"/>
          </w:tcPr>
          <w:p w14:paraId="14AB383A" w14:textId="77777777" w:rsidR="00323919" w:rsidRPr="009C679F" w:rsidRDefault="00790126" w:rsidP="00883FED">
            <w:pPr>
              <w:pStyle w:val="TableParagraph"/>
              <w:keepNext/>
              <w:widowControl/>
              <w:spacing w:after="240"/>
              <w:ind w:left="0"/>
              <w:jc w:val="left"/>
              <w:rPr>
                <w:lang w:val="en-GB"/>
              </w:rPr>
            </w:pPr>
            <w:r w:rsidRPr="009C679F">
              <w:rPr>
                <w:lang w:val="en-GB"/>
              </w:rPr>
              <w:t>Not currently charged.</w:t>
            </w:r>
          </w:p>
        </w:tc>
        <w:tc>
          <w:tcPr>
            <w:tcW w:w="1630" w:type="dxa"/>
          </w:tcPr>
          <w:p w14:paraId="0798D068" w14:textId="2EADA1F8" w:rsidR="00323919" w:rsidRPr="009C679F" w:rsidRDefault="002B2674" w:rsidP="00883FED">
            <w:pPr>
              <w:pStyle w:val="TableParagraph"/>
              <w:keepNext/>
              <w:widowControl/>
              <w:spacing w:after="240"/>
              <w:ind w:left="0"/>
              <w:jc w:val="left"/>
              <w:rPr>
                <w:lang w:val="en-GB"/>
              </w:rPr>
            </w:pPr>
            <w:r w:rsidRPr="009C679F">
              <w:rPr>
                <w:lang w:val="en-GB"/>
              </w:rPr>
              <w:t xml:space="preserve">Not </w:t>
            </w:r>
            <w:r w:rsidR="00790126" w:rsidRPr="009C679F">
              <w:rPr>
                <w:lang w:val="en-GB"/>
              </w:rPr>
              <w:t>currently charged.</w:t>
            </w:r>
          </w:p>
        </w:tc>
        <w:tc>
          <w:tcPr>
            <w:tcW w:w="1629" w:type="dxa"/>
          </w:tcPr>
          <w:p w14:paraId="0C7FD643" w14:textId="03D0BA6B" w:rsidR="00323919" w:rsidRPr="009C679F" w:rsidRDefault="00790126" w:rsidP="00883FED">
            <w:pPr>
              <w:pStyle w:val="TableParagraph"/>
              <w:keepNext/>
              <w:widowControl/>
              <w:spacing w:after="240"/>
              <w:ind w:left="0"/>
              <w:jc w:val="left"/>
              <w:rPr>
                <w:lang w:val="en-GB"/>
              </w:rPr>
            </w:pPr>
            <w:r w:rsidRPr="009C679F">
              <w:rPr>
                <w:lang w:val="en-GB"/>
              </w:rPr>
              <w:t>Not</w:t>
            </w:r>
            <w:r w:rsidR="002B2674" w:rsidRPr="009C679F">
              <w:rPr>
                <w:lang w:val="en-GB"/>
              </w:rPr>
              <w:t xml:space="preserve"> </w:t>
            </w:r>
            <w:r w:rsidRPr="009C679F">
              <w:rPr>
                <w:lang w:val="en-GB"/>
              </w:rPr>
              <w:t>currently charged.</w:t>
            </w:r>
          </w:p>
        </w:tc>
        <w:tc>
          <w:tcPr>
            <w:tcW w:w="1629" w:type="dxa"/>
          </w:tcPr>
          <w:p w14:paraId="1F4B8FD3" w14:textId="2867A1E6" w:rsidR="00323919" w:rsidRPr="009C679F" w:rsidRDefault="002B2674" w:rsidP="00883FED">
            <w:pPr>
              <w:pStyle w:val="TableParagraph"/>
              <w:keepNext/>
              <w:widowControl/>
              <w:spacing w:after="240"/>
              <w:ind w:left="0"/>
              <w:jc w:val="left"/>
              <w:rPr>
                <w:lang w:val="en-GB"/>
              </w:rPr>
            </w:pPr>
            <w:r w:rsidRPr="009C679F">
              <w:rPr>
                <w:lang w:val="en-GB"/>
              </w:rPr>
              <w:t xml:space="preserve">Not </w:t>
            </w:r>
            <w:r w:rsidR="00790126" w:rsidRPr="009C679F">
              <w:rPr>
                <w:lang w:val="en-GB"/>
              </w:rPr>
              <w:t>currently charged.</w:t>
            </w:r>
          </w:p>
        </w:tc>
        <w:tc>
          <w:tcPr>
            <w:tcW w:w="1630" w:type="dxa"/>
          </w:tcPr>
          <w:p w14:paraId="30D95012" w14:textId="10599047" w:rsidR="00323919" w:rsidRPr="009C679F" w:rsidRDefault="002B2674" w:rsidP="00883FED">
            <w:pPr>
              <w:pStyle w:val="TableParagraph"/>
              <w:keepNext/>
              <w:widowControl/>
              <w:spacing w:after="240"/>
              <w:ind w:left="0"/>
              <w:jc w:val="left"/>
              <w:rPr>
                <w:lang w:val="en-GB"/>
              </w:rPr>
            </w:pPr>
            <w:r w:rsidRPr="009C679F">
              <w:rPr>
                <w:lang w:val="en-GB"/>
              </w:rPr>
              <w:t xml:space="preserve">Not </w:t>
            </w:r>
            <w:r w:rsidR="00790126" w:rsidRPr="009C679F">
              <w:rPr>
                <w:lang w:val="en-GB"/>
              </w:rPr>
              <w:t>currently charged.</w:t>
            </w:r>
          </w:p>
        </w:tc>
      </w:tr>
      <w:tr w:rsidR="006A484E" w:rsidRPr="009C679F" w14:paraId="157C6BEB" w14:textId="77777777" w:rsidTr="005116AD">
        <w:trPr>
          <w:trHeight w:val="657"/>
        </w:trPr>
        <w:tc>
          <w:tcPr>
            <w:tcW w:w="1629" w:type="dxa"/>
          </w:tcPr>
          <w:p w14:paraId="70261AD9" w14:textId="22729B6C" w:rsidR="00323919" w:rsidRPr="009C679F" w:rsidRDefault="00790126" w:rsidP="00883FED">
            <w:pPr>
              <w:pStyle w:val="TableParagraph"/>
              <w:widowControl/>
              <w:spacing w:after="240"/>
              <w:ind w:left="0"/>
              <w:jc w:val="left"/>
              <w:rPr>
                <w:b/>
                <w:lang w:val="en-GB"/>
              </w:rPr>
            </w:pPr>
            <w:r w:rsidRPr="009C679F">
              <w:rPr>
                <w:b/>
                <w:lang w:val="en-GB"/>
              </w:rPr>
              <w:t>Exchange</w:t>
            </w:r>
            <w:r w:rsidR="002B2674" w:rsidRPr="009C679F">
              <w:rPr>
                <w:b/>
                <w:lang w:val="en-GB"/>
              </w:rPr>
              <w:t xml:space="preserve"> </w:t>
            </w:r>
            <w:r w:rsidRPr="009C679F">
              <w:rPr>
                <w:b/>
                <w:lang w:val="en-GB"/>
              </w:rPr>
              <w:t>/</w:t>
            </w:r>
            <w:r w:rsidR="002B2674" w:rsidRPr="009C679F">
              <w:rPr>
                <w:b/>
                <w:lang w:val="en-GB"/>
              </w:rPr>
              <w:t xml:space="preserve"> Switching </w:t>
            </w:r>
            <w:r w:rsidRPr="009C679F">
              <w:rPr>
                <w:b/>
                <w:lang w:val="en-GB"/>
              </w:rPr>
              <w:t>/ Conversion Fee</w:t>
            </w:r>
          </w:p>
        </w:tc>
        <w:tc>
          <w:tcPr>
            <w:tcW w:w="1629" w:type="dxa"/>
          </w:tcPr>
          <w:p w14:paraId="00E0D984" w14:textId="77777777" w:rsidR="00323919" w:rsidRPr="009C679F" w:rsidRDefault="00790126" w:rsidP="00883FED">
            <w:pPr>
              <w:pStyle w:val="TableParagraph"/>
              <w:keepNext/>
              <w:widowControl/>
              <w:spacing w:after="240"/>
              <w:ind w:left="0"/>
              <w:jc w:val="left"/>
              <w:rPr>
                <w:lang w:val="en-GB"/>
              </w:rPr>
            </w:pPr>
            <w:r w:rsidRPr="009C679F">
              <w:rPr>
                <w:lang w:val="en-GB"/>
              </w:rPr>
              <w:t>None.</w:t>
            </w:r>
          </w:p>
        </w:tc>
        <w:tc>
          <w:tcPr>
            <w:tcW w:w="1630" w:type="dxa"/>
          </w:tcPr>
          <w:p w14:paraId="4D0558F8" w14:textId="77777777" w:rsidR="00323919" w:rsidRPr="009C679F" w:rsidRDefault="00790126" w:rsidP="00883FED">
            <w:pPr>
              <w:pStyle w:val="TableParagraph"/>
              <w:keepNext/>
              <w:widowControl/>
              <w:spacing w:after="240"/>
              <w:ind w:left="0"/>
              <w:jc w:val="left"/>
              <w:rPr>
                <w:lang w:val="en-GB"/>
              </w:rPr>
            </w:pPr>
            <w:r w:rsidRPr="009C679F">
              <w:rPr>
                <w:lang w:val="en-GB"/>
              </w:rPr>
              <w:t>None.</w:t>
            </w:r>
          </w:p>
        </w:tc>
        <w:tc>
          <w:tcPr>
            <w:tcW w:w="1629" w:type="dxa"/>
          </w:tcPr>
          <w:p w14:paraId="61330EE4" w14:textId="77777777" w:rsidR="00323919" w:rsidRPr="009C679F" w:rsidRDefault="00790126" w:rsidP="00883FED">
            <w:pPr>
              <w:pStyle w:val="TableParagraph"/>
              <w:keepNext/>
              <w:widowControl/>
              <w:spacing w:after="240"/>
              <w:ind w:left="0"/>
              <w:jc w:val="left"/>
              <w:rPr>
                <w:lang w:val="en-GB"/>
              </w:rPr>
            </w:pPr>
            <w:r w:rsidRPr="009C679F">
              <w:rPr>
                <w:lang w:val="en-GB"/>
              </w:rPr>
              <w:t>None.</w:t>
            </w:r>
          </w:p>
        </w:tc>
        <w:tc>
          <w:tcPr>
            <w:tcW w:w="1629" w:type="dxa"/>
          </w:tcPr>
          <w:p w14:paraId="7ECF1C3D" w14:textId="77777777" w:rsidR="00323919" w:rsidRPr="009C679F" w:rsidRDefault="00790126" w:rsidP="00883FED">
            <w:pPr>
              <w:pStyle w:val="TableParagraph"/>
              <w:keepNext/>
              <w:widowControl/>
              <w:spacing w:after="240"/>
              <w:ind w:left="0"/>
              <w:jc w:val="left"/>
              <w:rPr>
                <w:lang w:val="en-GB"/>
              </w:rPr>
            </w:pPr>
            <w:r w:rsidRPr="009C679F">
              <w:rPr>
                <w:lang w:val="en-GB"/>
              </w:rPr>
              <w:t>None.</w:t>
            </w:r>
          </w:p>
        </w:tc>
        <w:tc>
          <w:tcPr>
            <w:tcW w:w="1630" w:type="dxa"/>
          </w:tcPr>
          <w:p w14:paraId="6A7B4113" w14:textId="77777777" w:rsidR="00323919" w:rsidRPr="009C679F" w:rsidRDefault="00790126" w:rsidP="00883FED">
            <w:pPr>
              <w:pStyle w:val="TableParagraph"/>
              <w:keepNext/>
              <w:widowControl/>
              <w:spacing w:after="240"/>
              <w:ind w:left="0"/>
              <w:jc w:val="left"/>
              <w:rPr>
                <w:lang w:val="en-GB"/>
              </w:rPr>
            </w:pPr>
            <w:r w:rsidRPr="009C679F">
              <w:rPr>
                <w:lang w:val="en-GB"/>
              </w:rPr>
              <w:t>None.</w:t>
            </w:r>
          </w:p>
        </w:tc>
      </w:tr>
      <w:tr w:rsidR="006A484E" w:rsidRPr="009C679F" w14:paraId="519ECE03" w14:textId="77777777" w:rsidTr="005116AD">
        <w:trPr>
          <w:trHeight w:val="1523"/>
        </w:trPr>
        <w:tc>
          <w:tcPr>
            <w:tcW w:w="1629" w:type="dxa"/>
          </w:tcPr>
          <w:p w14:paraId="6144CD11" w14:textId="77777777" w:rsidR="00323919" w:rsidRPr="009C679F" w:rsidRDefault="00790126" w:rsidP="00883FED">
            <w:pPr>
              <w:pStyle w:val="TableParagraph"/>
              <w:widowControl/>
              <w:spacing w:after="240"/>
              <w:ind w:left="0"/>
              <w:jc w:val="left"/>
              <w:rPr>
                <w:b/>
                <w:lang w:val="en-GB"/>
              </w:rPr>
            </w:pPr>
            <w:r w:rsidRPr="009C679F">
              <w:rPr>
                <w:b/>
                <w:lang w:val="en-GB"/>
              </w:rPr>
              <w:t>Minimum Initial Investment</w:t>
            </w:r>
          </w:p>
        </w:tc>
        <w:tc>
          <w:tcPr>
            <w:tcW w:w="1629" w:type="dxa"/>
          </w:tcPr>
          <w:p w14:paraId="535794B9" w14:textId="1D2FFF91" w:rsidR="00323919" w:rsidRPr="009C679F" w:rsidRDefault="008616AE" w:rsidP="00883FED">
            <w:pPr>
              <w:pStyle w:val="TableParagraph"/>
              <w:keepNext/>
              <w:widowControl/>
              <w:spacing w:after="240"/>
              <w:ind w:left="0"/>
              <w:jc w:val="left"/>
              <w:rPr>
                <w:lang w:val="en-GB"/>
              </w:rPr>
            </w:pPr>
            <w:r>
              <w:rPr>
                <w:lang w:val="en-GB"/>
              </w:rPr>
              <w:t>US$100,000.</w:t>
            </w:r>
          </w:p>
        </w:tc>
        <w:tc>
          <w:tcPr>
            <w:tcW w:w="1630" w:type="dxa"/>
          </w:tcPr>
          <w:p w14:paraId="05C45515" w14:textId="2D341E58" w:rsidR="00323919" w:rsidRPr="009C679F" w:rsidRDefault="00790126" w:rsidP="00883FED">
            <w:pPr>
              <w:pStyle w:val="TableParagraph"/>
              <w:keepNext/>
              <w:widowControl/>
              <w:spacing w:after="240"/>
              <w:ind w:left="0"/>
              <w:jc w:val="left"/>
              <w:rPr>
                <w:lang w:val="en-GB"/>
              </w:rPr>
            </w:pPr>
            <w:r w:rsidRPr="009C679F">
              <w:rPr>
                <w:lang w:val="en-GB"/>
              </w:rPr>
              <w:t>US$1,000,000</w:t>
            </w:r>
            <w:r w:rsidR="008616AE">
              <w:rPr>
                <w:lang w:val="en-GB"/>
              </w:rPr>
              <w:t>.</w:t>
            </w:r>
          </w:p>
        </w:tc>
        <w:tc>
          <w:tcPr>
            <w:tcW w:w="1629" w:type="dxa"/>
          </w:tcPr>
          <w:p w14:paraId="2FA86734" w14:textId="060F3528" w:rsidR="00323919" w:rsidRPr="009C679F" w:rsidRDefault="002B2674" w:rsidP="00883FED">
            <w:pPr>
              <w:pStyle w:val="TableParagraph"/>
              <w:keepNext/>
              <w:widowControl/>
              <w:spacing w:after="240"/>
              <w:ind w:left="0"/>
              <w:jc w:val="left"/>
              <w:rPr>
                <w:lang w:val="en-GB"/>
              </w:rPr>
            </w:pPr>
            <w:r w:rsidRPr="009C679F">
              <w:rPr>
                <w:lang w:val="en-GB"/>
              </w:rPr>
              <w:t xml:space="preserve">US$10,000 </w:t>
            </w:r>
            <w:r w:rsidR="00790126" w:rsidRPr="009C679F">
              <w:rPr>
                <w:lang w:val="en-GB"/>
              </w:rPr>
              <w:t>(or</w:t>
            </w:r>
            <w:r w:rsidRPr="009C679F">
              <w:rPr>
                <w:lang w:val="en-GB"/>
              </w:rPr>
              <w:t xml:space="preserve"> </w:t>
            </w:r>
            <w:r w:rsidR="00790126" w:rsidRPr="009C679F">
              <w:rPr>
                <w:lang w:val="en-GB"/>
              </w:rPr>
              <w:t>its equivalent in the</w:t>
            </w:r>
            <w:r w:rsidRPr="009C679F">
              <w:rPr>
                <w:lang w:val="en-GB"/>
              </w:rPr>
              <w:t xml:space="preserve"> </w:t>
            </w:r>
            <w:r w:rsidR="00790126" w:rsidRPr="009C679F">
              <w:rPr>
                <w:lang w:val="en-GB"/>
              </w:rPr>
              <w:t>relevant currency denomination of the Class).</w:t>
            </w:r>
          </w:p>
        </w:tc>
        <w:tc>
          <w:tcPr>
            <w:tcW w:w="1629" w:type="dxa"/>
          </w:tcPr>
          <w:p w14:paraId="6A8C1413" w14:textId="77777777" w:rsidR="00323919" w:rsidRPr="009C679F" w:rsidRDefault="00790126" w:rsidP="00883FED">
            <w:pPr>
              <w:pStyle w:val="TableParagraph"/>
              <w:keepNext/>
              <w:widowControl/>
              <w:spacing w:after="240"/>
              <w:ind w:left="0"/>
              <w:jc w:val="left"/>
              <w:rPr>
                <w:lang w:val="en-GB"/>
              </w:rPr>
            </w:pPr>
            <w:r w:rsidRPr="009C679F">
              <w:rPr>
                <w:lang w:val="en-GB"/>
              </w:rPr>
              <w:t>GBP10,000</w:t>
            </w:r>
          </w:p>
        </w:tc>
        <w:tc>
          <w:tcPr>
            <w:tcW w:w="1630" w:type="dxa"/>
          </w:tcPr>
          <w:p w14:paraId="44E2F35B" w14:textId="587EB778" w:rsidR="00323919" w:rsidRPr="009C679F" w:rsidRDefault="002B2674" w:rsidP="00883FED">
            <w:pPr>
              <w:pStyle w:val="TableParagraph"/>
              <w:keepNext/>
              <w:widowControl/>
              <w:spacing w:after="240"/>
              <w:ind w:left="0"/>
              <w:jc w:val="left"/>
              <w:rPr>
                <w:lang w:val="en-GB"/>
              </w:rPr>
            </w:pPr>
            <w:r w:rsidRPr="009C679F">
              <w:rPr>
                <w:lang w:val="en-GB"/>
              </w:rPr>
              <w:t xml:space="preserve">US$10,000 </w:t>
            </w:r>
            <w:r w:rsidR="00790126" w:rsidRPr="009C679F">
              <w:rPr>
                <w:lang w:val="en-GB"/>
              </w:rPr>
              <w:t>(or</w:t>
            </w:r>
            <w:r w:rsidRPr="009C679F">
              <w:rPr>
                <w:lang w:val="en-GB"/>
              </w:rPr>
              <w:t xml:space="preserve"> </w:t>
            </w:r>
            <w:r w:rsidR="00790126" w:rsidRPr="009C679F">
              <w:rPr>
                <w:lang w:val="en-GB"/>
              </w:rPr>
              <w:t>its equivalent in the</w:t>
            </w:r>
            <w:r w:rsidRPr="009C679F">
              <w:rPr>
                <w:lang w:val="en-GB"/>
              </w:rPr>
              <w:t xml:space="preserve"> </w:t>
            </w:r>
            <w:r w:rsidR="00790126" w:rsidRPr="009C679F">
              <w:rPr>
                <w:lang w:val="en-GB"/>
              </w:rPr>
              <w:t>relevant currency denomination of the Class).</w:t>
            </w:r>
          </w:p>
        </w:tc>
      </w:tr>
      <w:tr w:rsidR="006A484E" w:rsidRPr="009C679F" w14:paraId="12467A71" w14:textId="77777777" w:rsidTr="005116AD">
        <w:trPr>
          <w:trHeight w:val="1531"/>
        </w:trPr>
        <w:tc>
          <w:tcPr>
            <w:tcW w:w="1629" w:type="dxa"/>
          </w:tcPr>
          <w:p w14:paraId="6FD901B2" w14:textId="77777777" w:rsidR="00323919" w:rsidRPr="009C679F" w:rsidRDefault="00790126" w:rsidP="00883FED">
            <w:pPr>
              <w:pStyle w:val="TableParagraph"/>
              <w:widowControl/>
              <w:spacing w:after="240"/>
              <w:ind w:left="0"/>
              <w:jc w:val="left"/>
              <w:rPr>
                <w:b/>
                <w:lang w:val="en-GB"/>
              </w:rPr>
            </w:pPr>
            <w:r w:rsidRPr="009C679F">
              <w:rPr>
                <w:b/>
                <w:lang w:val="en-GB"/>
              </w:rPr>
              <w:t>Minimum Subsequent Investment</w:t>
            </w:r>
          </w:p>
        </w:tc>
        <w:tc>
          <w:tcPr>
            <w:tcW w:w="1629" w:type="dxa"/>
          </w:tcPr>
          <w:p w14:paraId="22555A5D" w14:textId="6BDFDC18" w:rsidR="00323919" w:rsidRPr="009C679F" w:rsidRDefault="008616AE" w:rsidP="00883FED">
            <w:pPr>
              <w:pStyle w:val="TableParagraph"/>
              <w:keepNext/>
              <w:widowControl/>
              <w:spacing w:after="240"/>
              <w:ind w:left="0"/>
              <w:jc w:val="left"/>
              <w:rPr>
                <w:lang w:val="en-GB"/>
              </w:rPr>
            </w:pPr>
            <w:r>
              <w:rPr>
                <w:lang w:val="en-GB"/>
              </w:rPr>
              <w:t>US$100.</w:t>
            </w:r>
          </w:p>
        </w:tc>
        <w:tc>
          <w:tcPr>
            <w:tcW w:w="1630" w:type="dxa"/>
          </w:tcPr>
          <w:p w14:paraId="3F786140" w14:textId="000045A1" w:rsidR="00323919" w:rsidRPr="009C679F" w:rsidRDefault="008616AE" w:rsidP="00883FED">
            <w:pPr>
              <w:pStyle w:val="TableParagraph"/>
              <w:keepNext/>
              <w:widowControl/>
              <w:spacing w:after="240"/>
              <w:ind w:left="0"/>
              <w:jc w:val="left"/>
              <w:rPr>
                <w:lang w:val="en-GB"/>
              </w:rPr>
            </w:pPr>
            <w:r>
              <w:rPr>
                <w:lang w:val="en-GB"/>
              </w:rPr>
              <w:t>US$100.</w:t>
            </w:r>
          </w:p>
        </w:tc>
        <w:tc>
          <w:tcPr>
            <w:tcW w:w="1629" w:type="dxa"/>
          </w:tcPr>
          <w:p w14:paraId="0837A853" w14:textId="77777777" w:rsidR="00323919" w:rsidRPr="009C679F" w:rsidRDefault="00790126" w:rsidP="00883FED">
            <w:pPr>
              <w:pStyle w:val="TableParagraph"/>
              <w:keepNext/>
              <w:widowControl/>
              <w:spacing w:after="240"/>
              <w:ind w:left="0"/>
              <w:jc w:val="left"/>
              <w:rPr>
                <w:lang w:val="en-GB"/>
              </w:rPr>
            </w:pPr>
            <w:r w:rsidRPr="009C679F">
              <w:rPr>
                <w:lang w:val="en-GB"/>
              </w:rPr>
              <w:t>US$100 (or its equivalent in the relevant currency denomination of the Class).</w:t>
            </w:r>
          </w:p>
        </w:tc>
        <w:tc>
          <w:tcPr>
            <w:tcW w:w="1629" w:type="dxa"/>
          </w:tcPr>
          <w:p w14:paraId="5A4123FC" w14:textId="77777777" w:rsidR="00323919" w:rsidRPr="009C679F" w:rsidRDefault="00790126" w:rsidP="00883FED">
            <w:pPr>
              <w:pStyle w:val="TableParagraph"/>
              <w:keepNext/>
              <w:widowControl/>
              <w:spacing w:after="240"/>
              <w:ind w:left="0"/>
              <w:jc w:val="left"/>
              <w:rPr>
                <w:lang w:val="en-GB"/>
              </w:rPr>
            </w:pPr>
            <w:r w:rsidRPr="009C679F">
              <w:rPr>
                <w:lang w:val="en-GB"/>
              </w:rPr>
              <w:t>GBP1,000</w:t>
            </w:r>
          </w:p>
        </w:tc>
        <w:tc>
          <w:tcPr>
            <w:tcW w:w="1630" w:type="dxa"/>
          </w:tcPr>
          <w:p w14:paraId="100E5E5B" w14:textId="77777777" w:rsidR="00323919" w:rsidRPr="009C679F" w:rsidRDefault="00790126" w:rsidP="00883FED">
            <w:pPr>
              <w:pStyle w:val="TableParagraph"/>
              <w:keepNext/>
              <w:widowControl/>
              <w:spacing w:after="240"/>
              <w:ind w:left="0"/>
              <w:jc w:val="left"/>
              <w:rPr>
                <w:lang w:val="en-GB"/>
              </w:rPr>
            </w:pPr>
            <w:r w:rsidRPr="009C679F">
              <w:rPr>
                <w:lang w:val="en-GB"/>
              </w:rPr>
              <w:t>US$100 (or its equivalent in the relevant currency denomination of the Class).</w:t>
            </w:r>
          </w:p>
        </w:tc>
      </w:tr>
      <w:tr w:rsidR="006A484E" w:rsidRPr="009C679F" w14:paraId="2136DC73" w14:textId="77777777" w:rsidTr="005116AD">
        <w:trPr>
          <w:trHeight w:val="1527"/>
        </w:trPr>
        <w:tc>
          <w:tcPr>
            <w:tcW w:w="1629" w:type="dxa"/>
          </w:tcPr>
          <w:p w14:paraId="34D3E910" w14:textId="77777777" w:rsidR="00323919" w:rsidRPr="009C679F" w:rsidRDefault="00790126" w:rsidP="00883FED">
            <w:pPr>
              <w:pStyle w:val="TableParagraph"/>
              <w:widowControl/>
              <w:spacing w:after="240"/>
              <w:ind w:left="0"/>
              <w:jc w:val="left"/>
              <w:rPr>
                <w:b/>
                <w:lang w:val="en-GB"/>
              </w:rPr>
            </w:pPr>
            <w:r w:rsidRPr="009C679F">
              <w:rPr>
                <w:b/>
                <w:lang w:val="en-GB"/>
              </w:rPr>
              <w:t>Minimum Holding</w:t>
            </w:r>
          </w:p>
        </w:tc>
        <w:tc>
          <w:tcPr>
            <w:tcW w:w="1629" w:type="dxa"/>
          </w:tcPr>
          <w:p w14:paraId="776AEC98" w14:textId="5B2AF94E" w:rsidR="00323919" w:rsidRPr="009C679F" w:rsidRDefault="008616AE" w:rsidP="00883FED">
            <w:pPr>
              <w:pStyle w:val="TableParagraph"/>
              <w:keepNext/>
              <w:widowControl/>
              <w:spacing w:after="240"/>
              <w:ind w:left="0"/>
              <w:jc w:val="left"/>
              <w:rPr>
                <w:lang w:val="en-GB"/>
              </w:rPr>
            </w:pPr>
            <w:r>
              <w:rPr>
                <w:lang w:val="en-GB"/>
              </w:rPr>
              <w:t>US$100.</w:t>
            </w:r>
          </w:p>
        </w:tc>
        <w:tc>
          <w:tcPr>
            <w:tcW w:w="1630" w:type="dxa"/>
          </w:tcPr>
          <w:p w14:paraId="5C038B36" w14:textId="1AAAFA88" w:rsidR="00323919" w:rsidRPr="009C679F" w:rsidRDefault="008616AE" w:rsidP="00883FED">
            <w:pPr>
              <w:pStyle w:val="TableParagraph"/>
              <w:keepNext/>
              <w:widowControl/>
              <w:spacing w:after="240"/>
              <w:ind w:left="0"/>
              <w:jc w:val="left"/>
              <w:rPr>
                <w:lang w:val="en-GB"/>
              </w:rPr>
            </w:pPr>
            <w:r>
              <w:rPr>
                <w:lang w:val="en-GB"/>
              </w:rPr>
              <w:t>US$100.</w:t>
            </w:r>
          </w:p>
        </w:tc>
        <w:tc>
          <w:tcPr>
            <w:tcW w:w="1629" w:type="dxa"/>
          </w:tcPr>
          <w:p w14:paraId="0F008A89" w14:textId="77777777" w:rsidR="00323919" w:rsidRPr="009C679F" w:rsidRDefault="00790126" w:rsidP="00883FED">
            <w:pPr>
              <w:pStyle w:val="TableParagraph"/>
              <w:keepNext/>
              <w:widowControl/>
              <w:spacing w:after="240"/>
              <w:ind w:left="0"/>
              <w:jc w:val="left"/>
              <w:rPr>
                <w:lang w:val="en-GB"/>
              </w:rPr>
            </w:pPr>
            <w:r w:rsidRPr="009C679F">
              <w:rPr>
                <w:lang w:val="en-GB"/>
              </w:rPr>
              <w:t>US$100 (or its equivalent in the relevant currency denomination of the Class).</w:t>
            </w:r>
          </w:p>
        </w:tc>
        <w:tc>
          <w:tcPr>
            <w:tcW w:w="1629" w:type="dxa"/>
          </w:tcPr>
          <w:p w14:paraId="22CF5D2C" w14:textId="77777777" w:rsidR="00323919" w:rsidRPr="009C679F" w:rsidRDefault="00790126" w:rsidP="00883FED">
            <w:pPr>
              <w:pStyle w:val="TableParagraph"/>
              <w:keepNext/>
              <w:widowControl/>
              <w:spacing w:after="240"/>
              <w:ind w:left="0"/>
              <w:jc w:val="left"/>
              <w:rPr>
                <w:lang w:val="en-GB"/>
              </w:rPr>
            </w:pPr>
            <w:r w:rsidRPr="009C679F">
              <w:rPr>
                <w:lang w:val="en-GB"/>
              </w:rPr>
              <w:t>GBP1,000</w:t>
            </w:r>
          </w:p>
        </w:tc>
        <w:tc>
          <w:tcPr>
            <w:tcW w:w="1630" w:type="dxa"/>
          </w:tcPr>
          <w:p w14:paraId="08362BB1" w14:textId="77777777" w:rsidR="00323919" w:rsidRPr="009C679F" w:rsidRDefault="00790126" w:rsidP="00883FED">
            <w:pPr>
              <w:pStyle w:val="TableParagraph"/>
              <w:keepNext/>
              <w:widowControl/>
              <w:spacing w:after="240"/>
              <w:ind w:left="0"/>
              <w:jc w:val="left"/>
              <w:rPr>
                <w:lang w:val="en-GB"/>
              </w:rPr>
            </w:pPr>
            <w:r w:rsidRPr="009C679F">
              <w:rPr>
                <w:lang w:val="en-GB"/>
              </w:rPr>
              <w:t>US$100 (or its equivalent in the relevant currency denomination of the Class).</w:t>
            </w:r>
          </w:p>
        </w:tc>
      </w:tr>
    </w:tbl>
    <w:p w14:paraId="6BA22A49" w14:textId="77777777" w:rsidR="002B2674" w:rsidRPr="009C679F" w:rsidRDefault="002B2674" w:rsidP="00D06B6E">
      <w:pPr>
        <w:pStyle w:val="BodyText"/>
        <w:widowControl/>
        <w:rPr>
          <w:lang w:val="en-GB"/>
        </w:rPr>
      </w:pPr>
    </w:p>
    <w:p w14:paraId="22E2F0C4" w14:textId="13007AFD" w:rsidR="00323919" w:rsidRPr="009C679F" w:rsidRDefault="00790126" w:rsidP="00D06B6E">
      <w:pPr>
        <w:pStyle w:val="BodyText"/>
        <w:widowControl/>
        <w:rPr>
          <w:lang w:val="en-GB"/>
        </w:rPr>
      </w:pPr>
      <w:r w:rsidRPr="005A4FCE">
        <w:t xml:space="preserve">The Directors </w:t>
      </w:r>
      <w:r w:rsidR="00ED59C7">
        <w:t>will treat all</w:t>
      </w:r>
      <w:r w:rsidRPr="005A4FCE">
        <w:t xml:space="preserve"> Shareholders </w:t>
      </w:r>
      <w:r w:rsidR="00ED59C7">
        <w:t xml:space="preserve">fairly </w:t>
      </w:r>
      <w:r w:rsidRPr="005A4FCE">
        <w:t>and</w:t>
      </w:r>
      <w:r w:rsidR="00ED59C7">
        <w:t xml:space="preserve"> equally when deciding</w:t>
      </w:r>
      <w:r w:rsidRPr="005A4FCE">
        <w:t xml:space="preserve"> to waive or reduce </w:t>
      </w:r>
      <w:r w:rsidRPr="009C679F">
        <w:rPr>
          <w:lang w:val="en-GB"/>
        </w:rPr>
        <w:t xml:space="preserve">the Minimum Holding, Minimum Initial Investment, and Minimum Subsequent Investment for any Shareholders or to refuse an application for any Shares in their absolute discretion. The Directors can waive any Redemption, Subscription, or Exchange, Conversion or Switching Fee </w:t>
      </w:r>
      <w:r w:rsidR="00ED59C7">
        <w:rPr>
          <w:lang w:val="en-GB"/>
        </w:rPr>
        <w:t>(</w:t>
      </w:r>
      <w:r w:rsidRPr="009C679F">
        <w:rPr>
          <w:lang w:val="en-GB"/>
        </w:rPr>
        <w:t>set out above</w:t>
      </w:r>
      <w:r w:rsidR="00ED59C7">
        <w:rPr>
          <w:lang w:val="en-GB"/>
        </w:rPr>
        <w:t xml:space="preserve">) </w:t>
      </w:r>
      <w:r w:rsidR="00ED59C7">
        <w:t>at individual Shareholder level</w:t>
      </w:r>
      <w:r w:rsidRPr="005116AD">
        <w:t xml:space="preserve"> in their absolute discretion</w:t>
      </w:r>
      <w:r w:rsidR="00ED59C7">
        <w:t>, but will treat all Shareholders fairly and equally</w:t>
      </w:r>
      <w:r w:rsidR="00ED59C7">
        <w:rPr>
          <w:lang w:val="en-GB"/>
        </w:rPr>
        <w:t xml:space="preserve">. </w:t>
      </w:r>
    </w:p>
    <w:p w14:paraId="773B496B" w14:textId="77777777" w:rsidR="00323919" w:rsidRPr="009C679F" w:rsidRDefault="00323919" w:rsidP="00D06B6E">
      <w:pPr>
        <w:pStyle w:val="BodyText"/>
        <w:widowControl/>
        <w:rPr>
          <w:lang w:val="en-GB"/>
        </w:rPr>
      </w:pPr>
    </w:p>
    <w:p w14:paraId="387C933F" w14:textId="77777777" w:rsidR="00323919" w:rsidRPr="009C679F" w:rsidRDefault="00790126" w:rsidP="00D06B6E">
      <w:pPr>
        <w:pStyle w:val="BodyText"/>
        <w:widowControl/>
        <w:rPr>
          <w:lang w:val="en-GB"/>
        </w:rPr>
      </w:pPr>
      <w:r w:rsidRPr="009C679F">
        <w:rPr>
          <w:lang w:val="en-GB"/>
        </w:rPr>
        <w:t>Additional classes of Shares may be created in accordance with the requirements of the Central Bank.</w:t>
      </w:r>
    </w:p>
    <w:p w14:paraId="1E2997A7" w14:textId="77777777" w:rsidR="00323919" w:rsidRPr="009C679F" w:rsidRDefault="00323919" w:rsidP="00D06B6E">
      <w:pPr>
        <w:pStyle w:val="BodyText"/>
        <w:widowControl/>
        <w:rPr>
          <w:lang w:val="en-GB"/>
        </w:rPr>
      </w:pPr>
    </w:p>
    <w:p w14:paraId="3CABAB40" w14:textId="77777777" w:rsidR="00323919" w:rsidRPr="009C679F" w:rsidRDefault="00790126" w:rsidP="00D06B6E">
      <w:pPr>
        <w:pStyle w:val="Heading1"/>
        <w:widowControl/>
      </w:pPr>
      <w:bookmarkStart w:id="38" w:name="_Toc173750982"/>
      <w:r w:rsidRPr="009C679F">
        <w:t>Platform Fee</w:t>
      </w:r>
      <w:bookmarkEnd w:id="38"/>
    </w:p>
    <w:p w14:paraId="20D577F7" w14:textId="77777777" w:rsidR="00323919" w:rsidRPr="009C679F" w:rsidRDefault="00323919" w:rsidP="00D06B6E">
      <w:pPr>
        <w:pStyle w:val="BodyText"/>
        <w:widowControl/>
        <w:rPr>
          <w:lang w:val="en-GB"/>
        </w:rPr>
      </w:pPr>
    </w:p>
    <w:p w14:paraId="3867FDAC" w14:textId="10F32358" w:rsidR="00323919" w:rsidRPr="009C679F" w:rsidRDefault="00790126" w:rsidP="00D06B6E">
      <w:pPr>
        <w:pStyle w:val="BodyText"/>
        <w:widowControl/>
        <w:rPr>
          <w:lang w:val="en-GB"/>
        </w:rPr>
      </w:pPr>
      <w:r w:rsidRPr="009C679F">
        <w:rPr>
          <w:lang w:val="en-GB"/>
        </w:rPr>
        <w:t xml:space="preserve">The </w:t>
      </w:r>
      <w:r w:rsidR="00BD0A7E" w:rsidRPr="009C679F">
        <w:rPr>
          <w:lang w:val="en-GB"/>
        </w:rPr>
        <w:t>Investment Manager</w:t>
      </w:r>
      <w:r w:rsidRPr="009C679F">
        <w:rPr>
          <w:lang w:val="en-GB"/>
        </w:rPr>
        <w:t xml:space="preserve"> receives the Platform Fee as part of its services to the Fund.</w:t>
      </w:r>
    </w:p>
    <w:p w14:paraId="087B7925" w14:textId="77777777" w:rsidR="00323919" w:rsidRPr="009C679F" w:rsidRDefault="00323919" w:rsidP="00D06B6E">
      <w:pPr>
        <w:pStyle w:val="BodyText"/>
        <w:widowControl/>
        <w:rPr>
          <w:lang w:val="en-GB"/>
        </w:rPr>
      </w:pPr>
    </w:p>
    <w:p w14:paraId="03E322C3" w14:textId="68312988" w:rsidR="00323919" w:rsidRPr="009C679F" w:rsidRDefault="00790126" w:rsidP="00D06B6E">
      <w:pPr>
        <w:pStyle w:val="Heading1"/>
        <w:widowControl/>
      </w:pPr>
      <w:bookmarkStart w:id="39" w:name="_Toc173750983"/>
      <w:r w:rsidRPr="009C679F">
        <w:t xml:space="preserve">Fees of the </w:t>
      </w:r>
      <w:r w:rsidR="00241DC0" w:rsidRPr="009C679F">
        <w:t xml:space="preserve">Investment </w:t>
      </w:r>
      <w:r w:rsidRPr="009C679F">
        <w:t>Manager</w:t>
      </w:r>
      <w:bookmarkEnd w:id="39"/>
    </w:p>
    <w:p w14:paraId="3BB94DA9" w14:textId="77777777" w:rsidR="00323919" w:rsidRPr="009C679F" w:rsidRDefault="00323919" w:rsidP="00D06B6E">
      <w:pPr>
        <w:pStyle w:val="BodyText"/>
        <w:widowControl/>
        <w:rPr>
          <w:lang w:val="en-GB"/>
        </w:rPr>
      </w:pPr>
    </w:p>
    <w:p w14:paraId="3C13454C" w14:textId="3C24A911" w:rsidR="00323919" w:rsidRPr="009C679F" w:rsidRDefault="00790126" w:rsidP="00D06B6E">
      <w:pPr>
        <w:pStyle w:val="BodyText"/>
        <w:widowControl/>
        <w:rPr>
          <w:lang w:val="en-GB"/>
        </w:rPr>
      </w:pPr>
      <w:r w:rsidRPr="009C679F">
        <w:rPr>
          <w:lang w:val="en-GB"/>
        </w:rPr>
        <w:t xml:space="preserve">The fee of the </w:t>
      </w:r>
      <w:r w:rsidR="00241DC0" w:rsidRPr="009C679F">
        <w:rPr>
          <w:lang w:val="en-GB"/>
        </w:rPr>
        <w:t>Investment M</w:t>
      </w:r>
      <w:r w:rsidRPr="009C679F">
        <w:rPr>
          <w:lang w:val="en-GB"/>
        </w:rPr>
        <w:t>anager is set out later in this document.</w:t>
      </w:r>
    </w:p>
    <w:p w14:paraId="1F69A814" w14:textId="77777777" w:rsidR="002B2674" w:rsidRPr="009C679F" w:rsidRDefault="002B2674" w:rsidP="00D06B6E">
      <w:pPr>
        <w:pStyle w:val="BodyText"/>
        <w:widowControl/>
        <w:rPr>
          <w:sz w:val="22"/>
          <w:lang w:val="en-GB"/>
        </w:rPr>
      </w:pPr>
    </w:p>
    <w:p w14:paraId="4A563A84" w14:textId="77777777" w:rsidR="00323919" w:rsidRPr="009C679F" w:rsidRDefault="00790126" w:rsidP="00D06B6E">
      <w:pPr>
        <w:pStyle w:val="Heading1"/>
        <w:widowControl/>
      </w:pPr>
      <w:bookmarkStart w:id="40" w:name="_Toc173750984"/>
      <w:r w:rsidRPr="009C679F">
        <w:t>Contingent Deferred Subscription Charge (“CDSC”)</w:t>
      </w:r>
      <w:bookmarkEnd w:id="40"/>
    </w:p>
    <w:p w14:paraId="690FC5D9" w14:textId="77777777" w:rsidR="00323919" w:rsidRPr="009C679F" w:rsidRDefault="00323919" w:rsidP="00D06B6E">
      <w:pPr>
        <w:pStyle w:val="BodyText"/>
        <w:widowControl/>
        <w:rPr>
          <w:lang w:val="en-GB"/>
        </w:rPr>
      </w:pPr>
    </w:p>
    <w:p w14:paraId="1D260541" w14:textId="77777777" w:rsidR="00323919" w:rsidRPr="009C679F" w:rsidRDefault="00790126" w:rsidP="00D06B6E">
      <w:pPr>
        <w:pStyle w:val="BodyText"/>
        <w:widowControl/>
        <w:rPr>
          <w:lang w:val="en-GB"/>
        </w:rPr>
      </w:pPr>
      <w:r w:rsidRPr="009C679F">
        <w:rPr>
          <w:lang w:val="en-GB"/>
        </w:rPr>
        <w:t>This charge is relevant to Class J.</w:t>
      </w:r>
    </w:p>
    <w:p w14:paraId="56A445E9" w14:textId="77777777" w:rsidR="00323919" w:rsidRPr="009C679F" w:rsidRDefault="00323919" w:rsidP="00D06B6E">
      <w:pPr>
        <w:pStyle w:val="BodyText"/>
        <w:widowControl/>
        <w:rPr>
          <w:lang w:val="en-GB"/>
        </w:rPr>
      </w:pPr>
    </w:p>
    <w:p w14:paraId="771AD76E" w14:textId="5C0DBD31" w:rsidR="00323919" w:rsidRPr="009C679F" w:rsidRDefault="00790126" w:rsidP="00D06B6E">
      <w:pPr>
        <w:pStyle w:val="BodyText"/>
        <w:widowControl/>
        <w:rPr>
          <w:lang w:val="en-GB"/>
        </w:rPr>
      </w:pPr>
      <w:r w:rsidRPr="009C679F">
        <w:rPr>
          <w:lang w:val="en-GB"/>
        </w:rPr>
        <w:lastRenderedPageBreak/>
        <w:t xml:space="preserve">Shareholders in Class J in this Fund will not be subject to a subscription fee upon subscribing for Shares in this Class. However, Shareholders in Class J may be subject to a CDSC which shall be payable to the </w:t>
      </w:r>
      <w:r w:rsidR="00BD0A7E" w:rsidRPr="009C679F">
        <w:rPr>
          <w:lang w:val="en-GB"/>
        </w:rPr>
        <w:t>Investment Manager</w:t>
      </w:r>
      <w:r w:rsidRPr="009C679F">
        <w:rPr>
          <w:lang w:val="en-GB"/>
        </w:rPr>
        <w:t>. The rate of CDSC which may be charged will be applied on a scale of up to a maximum of 5% of the net subscription amount.</w:t>
      </w:r>
    </w:p>
    <w:p w14:paraId="5BC7845B" w14:textId="77777777" w:rsidR="00323919" w:rsidRPr="009C679F" w:rsidRDefault="00323919" w:rsidP="00D06B6E">
      <w:pPr>
        <w:pStyle w:val="BodyText"/>
        <w:widowControl/>
        <w:rPr>
          <w:lang w:val="en-GB"/>
        </w:rPr>
      </w:pPr>
    </w:p>
    <w:p w14:paraId="102D7865" w14:textId="25F87C54" w:rsidR="00323919" w:rsidRPr="009C679F" w:rsidRDefault="00790126" w:rsidP="00D06B6E">
      <w:pPr>
        <w:pStyle w:val="BodyText"/>
        <w:widowControl/>
        <w:rPr>
          <w:lang w:val="en-GB"/>
        </w:rPr>
      </w:pPr>
      <w:r w:rsidRPr="009C679F">
        <w:rPr>
          <w:lang w:val="en-GB"/>
        </w:rPr>
        <w:t>Redemptions made on or before the twelfth (12th) month-end after the subscription for the relevant Shares will be subject to a CDSC of 5% of the Net Asset Value of such redeemed Shares. The CDSC will decrease by 1% after each subsequent twelfth (12th) calendar month-end after the subscription for the relevant Shares being redeemed. There will be no Redemption Fee on Sha</w:t>
      </w:r>
      <w:r w:rsidR="00883FED" w:rsidRPr="009C679F">
        <w:rPr>
          <w:lang w:val="en-GB"/>
        </w:rPr>
        <w:t>res redeemed after the sixth (6</w:t>
      </w:r>
      <w:r w:rsidRPr="009C679F">
        <w:rPr>
          <w:lang w:val="en-GB"/>
        </w:rPr>
        <w:t>th) month-end after subscription for the relevant Shares being redeemed.</w:t>
      </w:r>
    </w:p>
    <w:p w14:paraId="3B706C4B" w14:textId="77777777" w:rsidR="00323919" w:rsidRPr="009C679F" w:rsidRDefault="00323919" w:rsidP="00D06B6E">
      <w:pPr>
        <w:pStyle w:val="BodyText"/>
        <w:widowControl/>
        <w:rPr>
          <w:lang w:val="en-GB"/>
        </w:rPr>
      </w:pPr>
    </w:p>
    <w:p w14:paraId="62F75C86" w14:textId="21EF57AC" w:rsidR="00323919" w:rsidRPr="009C679F" w:rsidRDefault="00790126" w:rsidP="00D06B6E">
      <w:pPr>
        <w:pStyle w:val="Heading1"/>
        <w:widowControl/>
      </w:pPr>
      <w:bookmarkStart w:id="41" w:name="_Toc173750985"/>
      <w:r w:rsidRPr="009C679F">
        <w:t>The Initial Offer Period</w:t>
      </w:r>
      <w:bookmarkEnd w:id="41"/>
      <w:r w:rsidRPr="009C679F">
        <w:t xml:space="preserve"> </w:t>
      </w:r>
    </w:p>
    <w:p w14:paraId="46A5745E" w14:textId="77777777" w:rsidR="00323919" w:rsidRPr="009C679F" w:rsidRDefault="00323919" w:rsidP="00D06B6E">
      <w:pPr>
        <w:pStyle w:val="BodyText"/>
        <w:widowControl/>
        <w:rPr>
          <w:lang w:val="en-GB"/>
        </w:rPr>
      </w:pPr>
    </w:p>
    <w:p w14:paraId="24D249DD" w14:textId="40C35014" w:rsidR="00241EBA" w:rsidRDefault="00790126" w:rsidP="00D06B6E">
      <w:pPr>
        <w:pStyle w:val="BodyText"/>
        <w:widowControl/>
        <w:rPr>
          <w:lang w:val="en-GB"/>
        </w:rPr>
      </w:pPr>
      <w:r>
        <w:rPr>
          <w:lang w:val="en-GB"/>
        </w:rPr>
        <w:t>The Initial Offer Period for Class</w:t>
      </w:r>
      <w:r w:rsidR="00A5063A">
        <w:rPr>
          <w:lang w:val="en-GB"/>
        </w:rPr>
        <w:t>es</w:t>
      </w:r>
      <w:r>
        <w:rPr>
          <w:lang w:val="en-GB"/>
        </w:rPr>
        <w:t xml:space="preserve"> I </w:t>
      </w:r>
      <w:r w:rsidR="00A5063A">
        <w:rPr>
          <w:lang w:val="en-GB"/>
        </w:rPr>
        <w:t xml:space="preserve">and R </w:t>
      </w:r>
      <w:r>
        <w:rPr>
          <w:lang w:val="en-GB"/>
        </w:rPr>
        <w:t xml:space="preserve">will commence at 09:00 (UK time) on </w:t>
      </w:r>
      <w:r w:rsidR="00E976AE" w:rsidRPr="00E976AE">
        <w:rPr>
          <w:bCs/>
          <w:lang w:val="en-GB"/>
        </w:rPr>
        <w:t>14</w:t>
      </w:r>
      <w:r w:rsidR="00E976AE" w:rsidRPr="00E976AE">
        <w:rPr>
          <w:bCs/>
          <w:lang w:val="en-GB"/>
        </w:rPr>
        <w:t xml:space="preserve"> November</w:t>
      </w:r>
      <w:r w:rsidR="00E976AE" w:rsidRPr="00E976AE">
        <w:rPr>
          <w:lang w:val="en-GB"/>
        </w:rPr>
        <w:t xml:space="preserve"> </w:t>
      </w:r>
      <w:r>
        <w:rPr>
          <w:lang w:val="en-GB"/>
        </w:rPr>
        <w:t>2024 and shall end at 17:00 (UK time)</w:t>
      </w:r>
      <w:r w:rsidR="00E976AE">
        <w:rPr>
          <w:lang w:val="en-GB"/>
        </w:rPr>
        <w:t xml:space="preserve"> </w:t>
      </w:r>
      <w:r>
        <w:rPr>
          <w:lang w:val="en-GB"/>
        </w:rPr>
        <w:t xml:space="preserve">on </w:t>
      </w:r>
      <w:r w:rsidR="00E976AE">
        <w:rPr>
          <w:lang w:val="en-GB"/>
        </w:rPr>
        <w:t xml:space="preserve">28 November </w:t>
      </w:r>
      <w:r>
        <w:rPr>
          <w:lang w:val="en-GB"/>
        </w:rPr>
        <w:t xml:space="preserve">2024. </w:t>
      </w:r>
    </w:p>
    <w:p w14:paraId="3268575D" w14:textId="77777777" w:rsidR="00241EBA" w:rsidRDefault="00241EBA" w:rsidP="00D06B6E">
      <w:pPr>
        <w:pStyle w:val="BodyText"/>
        <w:widowControl/>
        <w:rPr>
          <w:lang w:val="en-GB"/>
        </w:rPr>
      </w:pPr>
    </w:p>
    <w:p w14:paraId="546E255F" w14:textId="4BC5948F" w:rsidR="00323919" w:rsidRPr="009C679F" w:rsidRDefault="00790126" w:rsidP="00D06B6E">
      <w:pPr>
        <w:pStyle w:val="BodyText"/>
        <w:widowControl/>
        <w:rPr>
          <w:lang w:val="en-GB"/>
        </w:rPr>
      </w:pPr>
      <w:r w:rsidRPr="009C679F">
        <w:rPr>
          <w:lang w:val="en-GB"/>
        </w:rPr>
        <w:t xml:space="preserve">The Initial Offer Period for all </w:t>
      </w:r>
      <w:r w:rsidR="008875FA" w:rsidRPr="009C679F">
        <w:rPr>
          <w:lang w:val="en-GB"/>
        </w:rPr>
        <w:t xml:space="preserve">other </w:t>
      </w:r>
      <w:r w:rsidRPr="009C679F">
        <w:rPr>
          <w:lang w:val="en-GB"/>
        </w:rPr>
        <w:t xml:space="preserve">Classes </w:t>
      </w:r>
      <w:r w:rsidR="00241DC0" w:rsidRPr="009C679F">
        <w:rPr>
          <w:lang w:val="en-GB"/>
        </w:rPr>
        <w:t>ended</w:t>
      </w:r>
      <w:r w:rsidRPr="009C679F">
        <w:rPr>
          <w:lang w:val="en-GB"/>
        </w:rPr>
        <w:t xml:space="preserve"> on </w:t>
      </w:r>
      <w:r w:rsidR="009F093C">
        <w:rPr>
          <w:lang w:val="en-GB"/>
        </w:rPr>
        <w:t xml:space="preserve">or before </w:t>
      </w:r>
      <w:r w:rsidR="00241EBA">
        <w:rPr>
          <w:lang w:val="en-GB"/>
        </w:rPr>
        <w:t>the date of this Supplement</w:t>
      </w:r>
      <w:r w:rsidRPr="009C679F">
        <w:rPr>
          <w:lang w:val="en-GB"/>
        </w:rPr>
        <w:t>.</w:t>
      </w:r>
    </w:p>
    <w:p w14:paraId="209C8495" w14:textId="77777777" w:rsidR="00323919" w:rsidRPr="009C679F" w:rsidRDefault="00323919" w:rsidP="00D06B6E">
      <w:pPr>
        <w:pStyle w:val="BodyText"/>
        <w:widowControl/>
        <w:rPr>
          <w:lang w:val="en-GB"/>
        </w:rPr>
      </w:pPr>
    </w:p>
    <w:p w14:paraId="2F96FE27" w14:textId="77777777" w:rsidR="00323919" w:rsidRPr="009C679F" w:rsidRDefault="00790126" w:rsidP="00D06B6E">
      <w:pPr>
        <w:pStyle w:val="Heading1"/>
        <w:widowControl/>
      </w:pPr>
      <w:bookmarkStart w:id="42" w:name="_Toc173750986"/>
      <w:r w:rsidRPr="009C679F">
        <w:t>Issue Price for all Classes</w:t>
      </w:r>
      <w:bookmarkEnd w:id="42"/>
    </w:p>
    <w:p w14:paraId="4D94E485" w14:textId="77777777" w:rsidR="00323919" w:rsidRPr="009C679F" w:rsidRDefault="00323919" w:rsidP="00D06B6E">
      <w:pPr>
        <w:pStyle w:val="BodyText"/>
        <w:widowControl/>
        <w:rPr>
          <w:lang w:val="en-GB"/>
        </w:rPr>
      </w:pPr>
    </w:p>
    <w:p w14:paraId="4E265827" w14:textId="75E10976" w:rsidR="00841E4E" w:rsidRPr="00580706" w:rsidRDefault="00841E4E" w:rsidP="00841E4E">
      <w:pPr>
        <w:pStyle w:val="BodyText"/>
      </w:pPr>
      <w:r>
        <w:t xml:space="preserve">During the Initial Offer Period, the Initial Issue Price for all Classes in the Fund </w:t>
      </w:r>
      <w:r w:rsidR="00817315" w:rsidRPr="00A1648F">
        <w:t xml:space="preserve">is 100.00 </w:t>
      </w:r>
      <w:r w:rsidR="00817315">
        <w:t xml:space="preserve">in </w:t>
      </w:r>
      <w:r w:rsidR="00817315" w:rsidRPr="00A1648F">
        <w:t xml:space="preserve">the relevant currency </w:t>
      </w:r>
      <w:r w:rsidR="00817315">
        <w:t xml:space="preserve">of </w:t>
      </w:r>
      <w:r w:rsidR="00817315" w:rsidRPr="00A1648F">
        <w:t xml:space="preserve">denomination of the </w:t>
      </w:r>
      <w:r w:rsidR="00817315">
        <w:t xml:space="preserve">relevant </w:t>
      </w:r>
      <w:r w:rsidR="00817315" w:rsidRPr="00A1648F">
        <w:t>Class</w:t>
      </w:r>
      <w:r w:rsidR="00817315">
        <w:t xml:space="preserve"> as set out </w:t>
      </w:r>
      <w:r w:rsidR="00817315" w:rsidRPr="00A1648F">
        <w:t>in the table under section headed “Key Information for Subscribing and Redeeming – Share Classes”</w:t>
      </w:r>
      <w:r w:rsidR="00817315">
        <w:t xml:space="preserve"> </w:t>
      </w:r>
      <w:r w:rsidR="00817315" w:rsidRPr="00A1648F">
        <w:t>per Share</w:t>
      </w:r>
      <w:r>
        <w:t>.</w:t>
      </w:r>
      <w:r w:rsidR="00DB60ED">
        <w:t xml:space="preserve"> </w:t>
      </w:r>
    </w:p>
    <w:p w14:paraId="3010AEA7" w14:textId="77777777" w:rsidR="00841E4E" w:rsidRPr="00580706" w:rsidRDefault="00841E4E" w:rsidP="00841E4E">
      <w:pPr>
        <w:pStyle w:val="BodyText"/>
      </w:pPr>
    </w:p>
    <w:p w14:paraId="3A834E08" w14:textId="6B36A569" w:rsidR="00176F83" w:rsidRPr="009C679F" w:rsidRDefault="00841E4E" w:rsidP="00C25A73">
      <w:pPr>
        <w:pStyle w:val="BodyText"/>
        <w:widowControl/>
      </w:pPr>
      <w:r>
        <w:t>After the Initial Offer Period, the</w:t>
      </w:r>
      <w:r w:rsidR="00CB7082" w:rsidRPr="009C679F">
        <w:t xml:space="preserve"> </w:t>
      </w:r>
      <w:r w:rsidR="00790126" w:rsidRPr="009C679F">
        <w:t>Issue Price for all Classes in the Fund is Net Asset Value per Share of the relevant Class.</w:t>
      </w:r>
      <w:r>
        <w:t xml:space="preserve"> </w:t>
      </w:r>
    </w:p>
    <w:p w14:paraId="5A555F99" w14:textId="77777777" w:rsidR="00323919" w:rsidRPr="009C679F" w:rsidRDefault="00323919" w:rsidP="00D06B6E">
      <w:pPr>
        <w:pStyle w:val="BodyText"/>
        <w:widowControl/>
        <w:rPr>
          <w:lang w:val="en-GB"/>
        </w:rPr>
      </w:pPr>
    </w:p>
    <w:p w14:paraId="1841507E" w14:textId="77777777" w:rsidR="00323919" w:rsidRPr="009C679F" w:rsidRDefault="00790126" w:rsidP="00D06B6E">
      <w:pPr>
        <w:pStyle w:val="Heading1"/>
        <w:widowControl/>
      </w:pPr>
      <w:bookmarkStart w:id="43" w:name="_Toc173750987"/>
      <w:r w:rsidRPr="009C679F">
        <w:t>Minimum Fund Size</w:t>
      </w:r>
      <w:bookmarkEnd w:id="43"/>
    </w:p>
    <w:p w14:paraId="1D6BB750" w14:textId="77777777" w:rsidR="002B2674" w:rsidRPr="009C679F" w:rsidRDefault="002B2674" w:rsidP="00D06B6E">
      <w:pPr>
        <w:pStyle w:val="Heading1"/>
        <w:widowControl/>
      </w:pPr>
    </w:p>
    <w:p w14:paraId="1CB9B86F" w14:textId="1FCDE352" w:rsidR="00323919" w:rsidRPr="009C679F" w:rsidRDefault="00790126" w:rsidP="00D06B6E">
      <w:pPr>
        <w:pStyle w:val="BodyText"/>
        <w:widowControl/>
        <w:rPr>
          <w:lang w:val="en-GB"/>
        </w:rPr>
      </w:pPr>
      <w:r w:rsidRPr="009C679F">
        <w:rPr>
          <w:lang w:val="en-GB"/>
        </w:rPr>
        <w:t>USD 5</w:t>
      </w:r>
      <w:r w:rsidR="00DC46BF" w:rsidRPr="009C679F">
        <w:rPr>
          <w:lang w:val="en-GB"/>
        </w:rPr>
        <w:t xml:space="preserve"> </w:t>
      </w:r>
      <w:r w:rsidRPr="009C679F">
        <w:rPr>
          <w:lang w:val="en-GB"/>
        </w:rPr>
        <w:t>million.</w:t>
      </w:r>
    </w:p>
    <w:p w14:paraId="1BE538D1" w14:textId="77777777" w:rsidR="00323919" w:rsidRPr="009C679F" w:rsidRDefault="00323919" w:rsidP="00D06B6E">
      <w:pPr>
        <w:pStyle w:val="BodyText"/>
        <w:widowControl/>
        <w:rPr>
          <w:lang w:val="en-GB"/>
        </w:rPr>
      </w:pPr>
    </w:p>
    <w:p w14:paraId="43C17022" w14:textId="77777777" w:rsidR="00323919" w:rsidRPr="009C679F" w:rsidRDefault="00790126" w:rsidP="00D06B6E">
      <w:pPr>
        <w:pStyle w:val="Heading1"/>
        <w:widowControl/>
      </w:pPr>
      <w:bookmarkStart w:id="44" w:name="_Toc173750988"/>
      <w:r w:rsidRPr="009C679F">
        <w:t>Business Day</w:t>
      </w:r>
      <w:bookmarkEnd w:id="44"/>
    </w:p>
    <w:p w14:paraId="6EF7A9C1" w14:textId="77777777" w:rsidR="00323919" w:rsidRPr="009C679F" w:rsidRDefault="00323919" w:rsidP="00D06B6E">
      <w:pPr>
        <w:pStyle w:val="BodyText"/>
        <w:widowControl/>
        <w:rPr>
          <w:lang w:val="en-GB"/>
        </w:rPr>
      </w:pPr>
    </w:p>
    <w:p w14:paraId="09141037" w14:textId="6361B5FC" w:rsidR="00241DC0" w:rsidRPr="009C679F" w:rsidRDefault="00790126" w:rsidP="00D06B6E">
      <w:pPr>
        <w:pStyle w:val="BodyText"/>
        <w:widowControl/>
        <w:rPr>
          <w:lang w:val="en-GB"/>
        </w:rPr>
      </w:pPr>
      <w:r w:rsidRPr="009C679F">
        <w:rPr>
          <w:lang w:val="en-GB"/>
        </w:rPr>
        <w:t>Any day on which the London and Dublin Stock Exchange are open for business.</w:t>
      </w:r>
    </w:p>
    <w:p w14:paraId="75C22A28" w14:textId="77777777" w:rsidR="001E4D75" w:rsidRPr="009C679F" w:rsidRDefault="001E4D75" w:rsidP="00D06B6E">
      <w:pPr>
        <w:widowControl/>
        <w:rPr>
          <w:lang w:val="en-GB"/>
        </w:rPr>
      </w:pPr>
    </w:p>
    <w:p w14:paraId="3F3B32E8" w14:textId="37E8B706" w:rsidR="00323919" w:rsidRPr="009C679F" w:rsidRDefault="00790126" w:rsidP="00D06B6E">
      <w:pPr>
        <w:pStyle w:val="Heading1"/>
        <w:widowControl/>
      </w:pPr>
      <w:bookmarkStart w:id="45" w:name="_Toc173750989"/>
      <w:r w:rsidRPr="009C679F">
        <w:t>Dealing Day</w:t>
      </w:r>
      <w:bookmarkEnd w:id="45"/>
    </w:p>
    <w:p w14:paraId="5D1CD1DC" w14:textId="77777777" w:rsidR="00323919" w:rsidRPr="009C679F" w:rsidRDefault="00323919" w:rsidP="00D06B6E">
      <w:pPr>
        <w:pStyle w:val="BodyText"/>
        <w:widowControl/>
        <w:rPr>
          <w:lang w:val="en-GB"/>
        </w:rPr>
      </w:pPr>
    </w:p>
    <w:p w14:paraId="35ABCE1F" w14:textId="77777777" w:rsidR="00323919" w:rsidRPr="009C679F" w:rsidRDefault="00790126" w:rsidP="00D06B6E">
      <w:pPr>
        <w:pStyle w:val="BodyText"/>
        <w:widowControl/>
        <w:rPr>
          <w:lang w:val="en-GB"/>
        </w:rPr>
      </w:pPr>
      <w:r w:rsidRPr="009C679F">
        <w:rPr>
          <w:lang w:val="en-GB"/>
        </w:rPr>
        <w:t>Shares may be purchased or redeemed weekly. The Dealing Day for Subscriptions and Redemptions is the Friday of every week and where such Friday is not a Business Day, the Business Day immediately following.</w:t>
      </w:r>
    </w:p>
    <w:p w14:paraId="1B0F5601" w14:textId="77777777" w:rsidR="00323919" w:rsidRPr="009C679F" w:rsidRDefault="00323919" w:rsidP="00D06B6E">
      <w:pPr>
        <w:pStyle w:val="BodyText"/>
        <w:widowControl/>
        <w:rPr>
          <w:lang w:val="en-GB"/>
        </w:rPr>
      </w:pPr>
    </w:p>
    <w:p w14:paraId="36631691" w14:textId="34D83D96" w:rsidR="00323919" w:rsidRPr="009C679F" w:rsidRDefault="00790126" w:rsidP="00D06B6E">
      <w:pPr>
        <w:pStyle w:val="Heading1"/>
        <w:widowControl/>
      </w:pPr>
      <w:bookmarkStart w:id="46" w:name="_Toc173750990"/>
      <w:r w:rsidRPr="009C679F">
        <w:t>Dealing Deadline</w:t>
      </w:r>
      <w:bookmarkEnd w:id="46"/>
    </w:p>
    <w:p w14:paraId="126586FB" w14:textId="77777777" w:rsidR="00323919" w:rsidRPr="009C679F" w:rsidRDefault="00323919" w:rsidP="00D06B6E">
      <w:pPr>
        <w:pStyle w:val="BodyText"/>
        <w:widowControl/>
        <w:rPr>
          <w:lang w:val="en-GB"/>
        </w:rPr>
      </w:pPr>
    </w:p>
    <w:p w14:paraId="5BF7F78A" w14:textId="77777777" w:rsidR="00323919" w:rsidRPr="009C679F" w:rsidRDefault="00790126" w:rsidP="00D06B6E">
      <w:pPr>
        <w:pStyle w:val="BodyText"/>
        <w:widowControl/>
        <w:rPr>
          <w:lang w:val="en-GB"/>
        </w:rPr>
      </w:pPr>
      <w:r w:rsidRPr="009C679F">
        <w:rPr>
          <w:lang w:val="en-GB"/>
        </w:rPr>
        <w:t>The Dealing Deadline is 16:00 UK time on the day three Business Days immediately preceding the relevant Dealing Day or such other day or time as the Directors may determine provided the Shareholders are notified in advance and it is prior to the relevant Valuation Point.</w:t>
      </w:r>
    </w:p>
    <w:p w14:paraId="52E0575A" w14:textId="77777777" w:rsidR="00323919" w:rsidRPr="009C679F" w:rsidRDefault="00323919" w:rsidP="00D06B6E">
      <w:pPr>
        <w:pStyle w:val="BodyText"/>
        <w:widowControl/>
        <w:rPr>
          <w:lang w:val="en-GB"/>
        </w:rPr>
      </w:pPr>
    </w:p>
    <w:p w14:paraId="0383F8F5" w14:textId="77777777" w:rsidR="00323919" w:rsidRPr="009C679F" w:rsidRDefault="00790126" w:rsidP="00D06B6E">
      <w:pPr>
        <w:pStyle w:val="Heading1"/>
        <w:widowControl/>
      </w:pPr>
      <w:bookmarkStart w:id="47" w:name="_Toc173750991"/>
      <w:r w:rsidRPr="009C679F">
        <w:t>Valuation Point</w:t>
      </w:r>
      <w:bookmarkEnd w:id="47"/>
    </w:p>
    <w:p w14:paraId="78F279A3" w14:textId="77777777" w:rsidR="00323919" w:rsidRPr="009C679F" w:rsidRDefault="00323919" w:rsidP="00D06B6E">
      <w:pPr>
        <w:pStyle w:val="BodyText"/>
        <w:widowControl/>
        <w:rPr>
          <w:lang w:val="en-GB"/>
        </w:rPr>
      </w:pPr>
    </w:p>
    <w:p w14:paraId="0931499F" w14:textId="77777777" w:rsidR="00323919" w:rsidRPr="009C679F" w:rsidRDefault="00790126" w:rsidP="00D06B6E">
      <w:pPr>
        <w:pStyle w:val="BodyText"/>
        <w:widowControl/>
        <w:rPr>
          <w:lang w:val="en-GB"/>
        </w:rPr>
      </w:pPr>
      <w:r w:rsidRPr="009C679F">
        <w:rPr>
          <w:lang w:val="en-GB"/>
        </w:rPr>
        <w:t>The Valuation Point is 16:30 UK time on the Business Day immediately preceding the Dealing Day or such other day or time as may be determined by the Directors and approved by the Depositary.</w:t>
      </w:r>
    </w:p>
    <w:p w14:paraId="42E1FF5A" w14:textId="77777777" w:rsidR="00323919" w:rsidRPr="009C679F" w:rsidRDefault="00323919" w:rsidP="00D06B6E">
      <w:pPr>
        <w:pStyle w:val="BodyText"/>
        <w:widowControl/>
        <w:rPr>
          <w:lang w:val="en-GB"/>
        </w:rPr>
      </w:pPr>
    </w:p>
    <w:p w14:paraId="730DE813" w14:textId="77777777" w:rsidR="00323919" w:rsidRPr="009C679F" w:rsidRDefault="00790126" w:rsidP="00D06B6E">
      <w:pPr>
        <w:pStyle w:val="Heading1"/>
        <w:widowControl/>
      </w:pPr>
      <w:bookmarkStart w:id="48" w:name="_Toc173750992"/>
      <w:r w:rsidRPr="009C679F">
        <w:t>Settlement Date</w:t>
      </w:r>
      <w:bookmarkEnd w:id="48"/>
    </w:p>
    <w:p w14:paraId="778D0C92" w14:textId="77777777" w:rsidR="00323919" w:rsidRPr="009C679F" w:rsidRDefault="00323919" w:rsidP="00D06B6E">
      <w:pPr>
        <w:pStyle w:val="BodyText"/>
        <w:widowControl/>
        <w:rPr>
          <w:lang w:val="en-GB"/>
        </w:rPr>
      </w:pPr>
    </w:p>
    <w:p w14:paraId="79283DFD" w14:textId="77777777" w:rsidR="00323919" w:rsidRPr="009C679F" w:rsidRDefault="00790126" w:rsidP="00D06B6E">
      <w:pPr>
        <w:pStyle w:val="BodyText"/>
        <w:widowControl/>
        <w:rPr>
          <w:lang w:val="en-GB"/>
        </w:rPr>
      </w:pPr>
      <w:r w:rsidRPr="009C679F">
        <w:rPr>
          <w:lang w:val="en-GB"/>
        </w:rPr>
        <w:t>The Settlement Date for the receipt of monies for subscription for Shares shall be 3 Business Days following the relevant Dealing Day. The Settlement Date for the dispatch of monies for the redemption of Shares shall be 5 Business Days following the relevant Dealing Day provided that all the required documentation, including anti-money laundering documentation, has been furnished to and received by the Administrator.</w:t>
      </w:r>
    </w:p>
    <w:p w14:paraId="17DF03FB" w14:textId="77777777" w:rsidR="00323919" w:rsidRPr="009C679F" w:rsidRDefault="00323919" w:rsidP="00D06B6E">
      <w:pPr>
        <w:pStyle w:val="BodyText"/>
        <w:widowControl/>
        <w:rPr>
          <w:lang w:val="en-GB"/>
        </w:rPr>
      </w:pPr>
    </w:p>
    <w:p w14:paraId="61A86B67" w14:textId="77777777" w:rsidR="00323919" w:rsidRPr="009C679F" w:rsidRDefault="00790126" w:rsidP="00D06B6E">
      <w:pPr>
        <w:pStyle w:val="ListParagraph"/>
        <w:widowControl/>
        <w:rPr>
          <w:lang w:val="en-GB"/>
        </w:rPr>
      </w:pPr>
      <w:bookmarkStart w:id="49" w:name="_bookmark9"/>
      <w:bookmarkStart w:id="50" w:name="_Toc98334829"/>
      <w:bookmarkStart w:id="51" w:name="_Toc172121756"/>
      <w:bookmarkEnd w:id="49"/>
      <w:r w:rsidRPr="009C679F">
        <w:rPr>
          <w:lang w:val="en-GB"/>
        </w:rPr>
        <w:t>HOW TO SUBSCRIBE FOR SHARES</w:t>
      </w:r>
      <w:bookmarkEnd w:id="50"/>
      <w:bookmarkEnd w:id="51"/>
    </w:p>
    <w:p w14:paraId="056D641A" w14:textId="77777777" w:rsidR="00323919" w:rsidRPr="009C679F" w:rsidRDefault="00790126" w:rsidP="00D06B6E">
      <w:pPr>
        <w:pStyle w:val="BodyText"/>
        <w:widowControl/>
        <w:rPr>
          <w:lang w:val="en-GB"/>
        </w:rPr>
      </w:pPr>
      <w:r w:rsidRPr="009C679F">
        <w:rPr>
          <w:lang w:val="en-GB"/>
        </w:rPr>
        <w:t xml:space="preserve">Requests for the subscription for Shares should be made in accordance with the provisions set out in the section entitled </w:t>
      </w:r>
      <w:r w:rsidRPr="009C679F">
        <w:rPr>
          <w:b/>
          <w:lang w:val="en-GB"/>
        </w:rPr>
        <w:t xml:space="preserve">Subscription for Shares </w:t>
      </w:r>
      <w:r w:rsidRPr="009C679F">
        <w:rPr>
          <w:lang w:val="en-GB"/>
        </w:rPr>
        <w:t>in the Prospectus.</w:t>
      </w:r>
    </w:p>
    <w:p w14:paraId="50A5F40A" w14:textId="77777777" w:rsidR="00323919" w:rsidRPr="009C679F" w:rsidRDefault="00323919" w:rsidP="00D06B6E">
      <w:pPr>
        <w:pStyle w:val="BodyText"/>
        <w:widowControl/>
        <w:rPr>
          <w:lang w:val="en-GB"/>
        </w:rPr>
      </w:pPr>
    </w:p>
    <w:p w14:paraId="098FFF20" w14:textId="77777777" w:rsidR="00323919" w:rsidRPr="009C679F" w:rsidRDefault="00790126" w:rsidP="00D06B6E">
      <w:pPr>
        <w:pStyle w:val="ListParagraph"/>
        <w:widowControl/>
        <w:rPr>
          <w:lang w:val="en-GB"/>
        </w:rPr>
      </w:pPr>
      <w:bookmarkStart w:id="52" w:name="_bookmark10"/>
      <w:bookmarkStart w:id="53" w:name="_Toc98334830"/>
      <w:bookmarkStart w:id="54" w:name="_Toc172121757"/>
      <w:bookmarkEnd w:id="52"/>
      <w:r w:rsidRPr="009C679F">
        <w:rPr>
          <w:lang w:val="en-GB"/>
        </w:rPr>
        <w:lastRenderedPageBreak/>
        <w:t>HOW TO REDEEM SHARES</w:t>
      </w:r>
      <w:bookmarkEnd w:id="53"/>
      <w:bookmarkEnd w:id="54"/>
    </w:p>
    <w:p w14:paraId="1A58FF7A" w14:textId="77777777" w:rsidR="00323919" w:rsidRPr="009C679F" w:rsidRDefault="00790126" w:rsidP="00D06B6E">
      <w:pPr>
        <w:pStyle w:val="BodyText"/>
        <w:widowControl/>
        <w:rPr>
          <w:lang w:val="en-GB"/>
        </w:rPr>
      </w:pPr>
      <w:r w:rsidRPr="009C679F">
        <w:rPr>
          <w:lang w:val="en-GB"/>
        </w:rPr>
        <w:t xml:space="preserve">Requests for the redemption of Shares should be made in accordance with the provisions set out in the section entitled </w:t>
      </w:r>
      <w:r w:rsidRPr="009C679F">
        <w:rPr>
          <w:b/>
          <w:lang w:val="en-GB"/>
        </w:rPr>
        <w:t xml:space="preserve">Redemption of Shares </w:t>
      </w:r>
      <w:r w:rsidRPr="009C679F">
        <w:rPr>
          <w:lang w:val="en-GB"/>
        </w:rPr>
        <w:t>in the Prospectus.</w:t>
      </w:r>
    </w:p>
    <w:p w14:paraId="634D9B7F" w14:textId="77777777" w:rsidR="00323919" w:rsidRPr="009C679F" w:rsidRDefault="00323919" w:rsidP="00D06B6E">
      <w:pPr>
        <w:pStyle w:val="BodyText"/>
        <w:widowControl/>
        <w:rPr>
          <w:lang w:val="en-GB"/>
        </w:rPr>
      </w:pPr>
    </w:p>
    <w:p w14:paraId="33534F79" w14:textId="77777777" w:rsidR="00323919" w:rsidRPr="009C679F" w:rsidRDefault="00790126" w:rsidP="00D06B6E">
      <w:pPr>
        <w:pStyle w:val="BodyText"/>
        <w:widowControl/>
        <w:rPr>
          <w:lang w:val="en-GB"/>
        </w:rPr>
      </w:pPr>
      <w:r w:rsidRPr="009C679F">
        <w:rPr>
          <w:lang w:val="en-GB"/>
        </w:rPr>
        <w:t>Redemption requests must be made in terms of number of Shares rather than requesting a cash amount.</w:t>
      </w:r>
    </w:p>
    <w:p w14:paraId="1E1CA3DC" w14:textId="77777777" w:rsidR="00323919" w:rsidRPr="009C679F" w:rsidRDefault="00323919" w:rsidP="00D06B6E">
      <w:pPr>
        <w:pStyle w:val="BodyText"/>
        <w:widowControl/>
        <w:rPr>
          <w:lang w:val="en-GB"/>
        </w:rPr>
      </w:pPr>
    </w:p>
    <w:p w14:paraId="4BC6ECAA" w14:textId="77777777" w:rsidR="00323919" w:rsidRPr="009C679F" w:rsidRDefault="00790126" w:rsidP="00D06B6E">
      <w:pPr>
        <w:pStyle w:val="ListParagraph"/>
        <w:widowControl/>
        <w:rPr>
          <w:lang w:val="en-GB"/>
        </w:rPr>
      </w:pPr>
      <w:bookmarkStart w:id="55" w:name="_bookmark11"/>
      <w:bookmarkStart w:id="56" w:name="_Toc98334831"/>
      <w:bookmarkStart w:id="57" w:name="_Toc172121758"/>
      <w:bookmarkEnd w:id="55"/>
      <w:r w:rsidRPr="009C679F">
        <w:rPr>
          <w:lang w:val="en-GB"/>
        </w:rPr>
        <w:t>ANTI-MONEY LAUNDERING</w:t>
      </w:r>
      <w:bookmarkEnd w:id="56"/>
      <w:bookmarkEnd w:id="57"/>
    </w:p>
    <w:p w14:paraId="15EA47FC" w14:textId="77777777" w:rsidR="00323919" w:rsidRPr="009C679F" w:rsidRDefault="00790126" w:rsidP="00D06B6E">
      <w:pPr>
        <w:pStyle w:val="BodyText"/>
        <w:widowControl/>
        <w:rPr>
          <w:lang w:val="en-GB"/>
        </w:rPr>
      </w:pPr>
      <w:r w:rsidRPr="009C679F">
        <w:rPr>
          <w:lang w:val="en-GB"/>
        </w:rPr>
        <w:t>Measures aimed at the prevention of money laundering may require an applicant for Shares to verify their identity to the Administrator. The anti-money laundering provisions set out in the Prospectus apply to this Fund.</w:t>
      </w:r>
    </w:p>
    <w:p w14:paraId="57D8435F" w14:textId="77777777" w:rsidR="00323919" w:rsidRPr="009C679F" w:rsidRDefault="00323919" w:rsidP="00D06B6E">
      <w:pPr>
        <w:pStyle w:val="BodyText"/>
        <w:widowControl/>
        <w:rPr>
          <w:lang w:val="en-GB"/>
        </w:rPr>
      </w:pPr>
    </w:p>
    <w:p w14:paraId="1E9D6F87" w14:textId="5BE5BD43" w:rsidR="00323919" w:rsidRPr="009C679F" w:rsidRDefault="00790126" w:rsidP="00D06B6E">
      <w:pPr>
        <w:pStyle w:val="ListParagraph"/>
        <w:widowControl/>
        <w:rPr>
          <w:lang w:val="en-GB"/>
        </w:rPr>
      </w:pPr>
      <w:bookmarkStart w:id="58" w:name="_bookmark12"/>
      <w:bookmarkStart w:id="59" w:name="_Toc98334832"/>
      <w:bookmarkStart w:id="60" w:name="_Toc172121759"/>
      <w:bookmarkEnd w:id="58"/>
      <w:r w:rsidRPr="009C679F">
        <w:rPr>
          <w:lang w:val="en-GB"/>
        </w:rPr>
        <w:t>FEES AND EXPENSES</w:t>
      </w:r>
      <w:bookmarkEnd w:id="59"/>
      <w:bookmarkEnd w:id="60"/>
      <w:r w:rsidRPr="009C679F">
        <w:rPr>
          <w:lang w:val="en-GB"/>
        </w:rPr>
        <w:t xml:space="preserve"> </w:t>
      </w:r>
    </w:p>
    <w:p w14:paraId="2CD2AF55" w14:textId="17FC930B" w:rsidR="00241DC0" w:rsidRPr="009C679F" w:rsidRDefault="00374A31" w:rsidP="00D06B6E">
      <w:pPr>
        <w:pStyle w:val="Heading1"/>
        <w:widowControl/>
      </w:pPr>
      <w:bookmarkStart w:id="61" w:name="_Toc173750993"/>
      <w:r w:rsidRPr="009C679F">
        <w:t>Management Fee</w:t>
      </w:r>
      <w:bookmarkEnd w:id="61"/>
    </w:p>
    <w:p w14:paraId="299D1BC8" w14:textId="77777777" w:rsidR="00241DC0" w:rsidRPr="009C679F" w:rsidRDefault="00241DC0" w:rsidP="00D06B6E">
      <w:pPr>
        <w:pStyle w:val="BodyText"/>
        <w:widowControl/>
        <w:rPr>
          <w:lang w:val="en-GB"/>
        </w:rPr>
      </w:pPr>
    </w:p>
    <w:p w14:paraId="232636AE" w14:textId="1ED55635" w:rsidR="00241DC0" w:rsidRPr="009C679F" w:rsidRDefault="00241DC0" w:rsidP="00D06B6E">
      <w:pPr>
        <w:pStyle w:val="BodyText"/>
        <w:widowControl/>
        <w:rPr>
          <w:lang w:val="en-GB"/>
        </w:rPr>
      </w:pPr>
      <w:r w:rsidRPr="009C679F">
        <w:rPr>
          <w:lang w:val="en-GB"/>
        </w:rPr>
        <w:t>The Manager shall be entitled to a fee payable out of the assets of the Fund (the “</w:t>
      </w:r>
      <w:r w:rsidRPr="009C679F">
        <w:rPr>
          <w:b/>
          <w:lang w:val="en-GB"/>
        </w:rPr>
        <w:t>Management Fee</w:t>
      </w:r>
      <w:r w:rsidRPr="009C679F">
        <w:rPr>
          <w:lang w:val="en-GB"/>
        </w:rPr>
        <w:t>”).</w:t>
      </w:r>
    </w:p>
    <w:p w14:paraId="5BC97337" w14:textId="77777777" w:rsidR="002B2674" w:rsidRPr="009C679F" w:rsidRDefault="002B2674" w:rsidP="00D06B6E">
      <w:pPr>
        <w:pStyle w:val="BodyText"/>
        <w:widowControl/>
        <w:rPr>
          <w:lang w:val="en-GB"/>
        </w:rPr>
      </w:pPr>
    </w:p>
    <w:p w14:paraId="7AD025CD" w14:textId="5534FA10" w:rsidR="00FA75AE" w:rsidRPr="009C679F" w:rsidRDefault="00FA75AE" w:rsidP="00FA75AE">
      <w:pPr>
        <w:pStyle w:val="BodyText"/>
        <w:widowControl/>
        <w:rPr>
          <w:lang w:val="en-GB"/>
        </w:rPr>
      </w:pPr>
      <w:r w:rsidRPr="009C679F">
        <w:rPr>
          <w:lang w:val="en-GB"/>
        </w:rPr>
        <w:t xml:space="preserve">The Management Fee is payable monthly in arrear and is calculated by reference to the Net Asset Value of the Fund as at the Valuation Point in respect of each Dealing Day.  The current Management Fee payable in respect of the Fund is calculated on a sliding scale according to the Net Asset Value of the Fund and is subject to a minimum annual fee of EUR 20,000 per annum: </w:t>
      </w:r>
    </w:p>
    <w:p w14:paraId="6B3A9ED2" w14:textId="77777777" w:rsidR="00FA75AE" w:rsidRPr="009C679F" w:rsidRDefault="00FA75AE" w:rsidP="00FA75AE">
      <w:pPr>
        <w:pStyle w:val="BodyText"/>
        <w:widowControl/>
        <w:rPr>
          <w:lang w:val="en-GB"/>
        </w:rPr>
      </w:pPr>
    </w:p>
    <w:tbl>
      <w:tblPr>
        <w:tblW w:w="0" w:type="auto"/>
        <w:tblInd w:w="567" w:type="dxa"/>
        <w:tblLayout w:type="fixed"/>
        <w:tblCellMar>
          <w:left w:w="0" w:type="dxa"/>
          <w:right w:w="0" w:type="dxa"/>
        </w:tblCellMar>
        <w:tblLook w:val="01E0" w:firstRow="1" w:lastRow="1" w:firstColumn="1" w:lastColumn="1" w:noHBand="0" w:noVBand="0"/>
      </w:tblPr>
      <w:tblGrid>
        <w:gridCol w:w="4223"/>
        <w:gridCol w:w="3291"/>
      </w:tblGrid>
      <w:tr w:rsidR="00FA75AE" w:rsidRPr="009C679F" w14:paraId="03E0381B" w14:textId="77777777" w:rsidTr="002128AF">
        <w:trPr>
          <w:trHeight w:val="218"/>
        </w:trPr>
        <w:tc>
          <w:tcPr>
            <w:tcW w:w="4223" w:type="dxa"/>
          </w:tcPr>
          <w:p w14:paraId="4A95E9E3" w14:textId="77777777" w:rsidR="00FA75AE" w:rsidRPr="009C679F" w:rsidRDefault="00FA75AE" w:rsidP="002128AF">
            <w:pPr>
              <w:pStyle w:val="TableParagraph"/>
              <w:widowControl/>
              <w:spacing w:line="199" w:lineRule="exact"/>
              <w:ind w:left="0"/>
              <w:rPr>
                <w:b/>
              </w:rPr>
            </w:pPr>
            <w:r w:rsidRPr="009C679F">
              <w:rPr>
                <w:b/>
              </w:rPr>
              <w:t>NAV</w:t>
            </w:r>
          </w:p>
        </w:tc>
        <w:tc>
          <w:tcPr>
            <w:tcW w:w="3291" w:type="dxa"/>
          </w:tcPr>
          <w:p w14:paraId="743A83D3" w14:textId="77777777" w:rsidR="00FA75AE" w:rsidRPr="009C679F" w:rsidRDefault="00FA75AE" w:rsidP="002128AF">
            <w:pPr>
              <w:pStyle w:val="TableParagraph"/>
              <w:widowControl/>
              <w:spacing w:line="199" w:lineRule="exact"/>
              <w:ind w:left="0"/>
              <w:rPr>
                <w:b/>
              </w:rPr>
            </w:pPr>
            <w:r w:rsidRPr="009C679F">
              <w:rPr>
                <w:b/>
              </w:rPr>
              <w:t>% Management Fee</w:t>
            </w:r>
          </w:p>
        </w:tc>
      </w:tr>
      <w:tr w:rsidR="00FA75AE" w:rsidRPr="009C679F" w14:paraId="0C5A30DB" w14:textId="77777777" w:rsidTr="002128AF">
        <w:trPr>
          <w:trHeight w:val="218"/>
        </w:trPr>
        <w:tc>
          <w:tcPr>
            <w:tcW w:w="4223" w:type="dxa"/>
          </w:tcPr>
          <w:p w14:paraId="4BD5206D" w14:textId="77777777" w:rsidR="00FA75AE" w:rsidRPr="009C679F" w:rsidRDefault="00FA75AE" w:rsidP="002128AF">
            <w:pPr>
              <w:pStyle w:val="TableParagraph"/>
              <w:widowControl/>
              <w:spacing w:line="198" w:lineRule="exact"/>
              <w:ind w:left="0"/>
            </w:pPr>
            <w:r w:rsidRPr="009C679F">
              <w:t>Up to 100 million Euros</w:t>
            </w:r>
          </w:p>
        </w:tc>
        <w:tc>
          <w:tcPr>
            <w:tcW w:w="3291" w:type="dxa"/>
          </w:tcPr>
          <w:p w14:paraId="4A49CD6A" w14:textId="77777777" w:rsidR="00FA75AE" w:rsidRPr="009C679F" w:rsidRDefault="00FA75AE" w:rsidP="002128AF">
            <w:pPr>
              <w:pStyle w:val="TableParagraph"/>
              <w:widowControl/>
              <w:spacing w:line="198" w:lineRule="exact"/>
              <w:ind w:left="0"/>
            </w:pPr>
            <w:r w:rsidRPr="009C679F">
              <w:t>0.08%</w:t>
            </w:r>
          </w:p>
        </w:tc>
      </w:tr>
      <w:tr w:rsidR="00FA75AE" w:rsidRPr="009C679F" w14:paraId="6C16023F" w14:textId="77777777" w:rsidTr="002128AF">
        <w:trPr>
          <w:trHeight w:val="218"/>
        </w:trPr>
        <w:tc>
          <w:tcPr>
            <w:tcW w:w="4223" w:type="dxa"/>
          </w:tcPr>
          <w:p w14:paraId="7B10F0C3" w14:textId="77777777" w:rsidR="00FA75AE" w:rsidRPr="009C679F" w:rsidRDefault="00FA75AE" w:rsidP="002128AF">
            <w:pPr>
              <w:pStyle w:val="TableParagraph"/>
              <w:widowControl/>
              <w:spacing w:line="199" w:lineRule="exact"/>
              <w:ind w:left="0"/>
            </w:pPr>
            <w:r w:rsidRPr="009C679F">
              <w:t>Greater than 100 million Euros</w:t>
            </w:r>
          </w:p>
        </w:tc>
        <w:tc>
          <w:tcPr>
            <w:tcW w:w="3291" w:type="dxa"/>
          </w:tcPr>
          <w:p w14:paraId="53F15350" w14:textId="77777777" w:rsidR="00FA75AE" w:rsidRPr="009C679F" w:rsidRDefault="00FA75AE" w:rsidP="002128AF">
            <w:pPr>
              <w:pStyle w:val="TableParagraph"/>
              <w:widowControl/>
              <w:spacing w:line="199" w:lineRule="exact"/>
              <w:ind w:left="0"/>
            </w:pPr>
            <w:r w:rsidRPr="009C679F">
              <w:t>0.04%</w:t>
            </w:r>
          </w:p>
        </w:tc>
      </w:tr>
    </w:tbl>
    <w:p w14:paraId="1E471659" w14:textId="77777777" w:rsidR="00FA75AE" w:rsidRPr="009C679F" w:rsidRDefault="00FA75AE" w:rsidP="00FA75AE">
      <w:pPr>
        <w:pStyle w:val="BodyText"/>
        <w:widowControl/>
        <w:rPr>
          <w:lang w:val="en-GB"/>
        </w:rPr>
      </w:pPr>
    </w:p>
    <w:p w14:paraId="7802DF8A" w14:textId="77777777" w:rsidR="00FA75AE" w:rsidRPr="009C679F" w:rsidRDefault="00FA75AE" w:rsidP="00FA75AE">
      <w:pPr>
        <w:pStyle w:val="BodyText"/>
        <w:widowControl/>
        <w:rPr>
          <w:lang w:val="en-GB"/>
        </w:rPr>
      </w:pPr>
      <w:r w:rsidRPr="009C679F">
        <w:rPr>
          <w:lang w:val="en-GB"/>
        </w:rPr>
        <w:t>A fee greater than the Management Fee set out in this Supplement may at any time be charged, upon approval of the Shareholders, and in accordance with the requirements of the Central Bank.</w:t>
      </w:r>
    </w:p>
    <w:p w14:paraId="2146AF17" w14:textId="77777777" w:rsidR="00FA75AE" w:rsidRPr="009C679F" w:rsidRDefault="00FA75AE" w:rsidP="00FA75AE">
      <w:pPr>
        <w:pStyle w:val="BodyText"/>
        <w:widowControl/>
        <w:rPr>
          <w:lang w:val="en-GB"/>
        </w:rPr>
      </w:pPr>
    </w:p>
    <w:p w14:paraId="2FB7C5DF" w14:textId="77777777" w:rsidR="00FA75AE" w:rsidRPr="009C679F" w:rsidRDefault="00FA75AE" w:rsidP="00FA75AE">
      <w:pPr>
        <w:pStyle w:val="BodyText"/>
        <w:widowControl/>
        <w:rPr>
          <w:lang w:val="en-GB"/>
        </w:rPr>
      </w:pPr>
      <w:r w:rsidRPr="009C679F">
        <w:rPr>
          <w:lang w:val="en-GB"/>
        </w:rPr>
        <w:t>The Manager shall also be reimbursed by the Fund for all fees and properly vouched expenses reasonably incurred by the Manager in the performance of its duties.</w:t>
      </w:r>
    </w:p>
    <w:p w14:paraId="382EBE8D" w14:textId="77777777" w:rsidR="00FA75AE" w:rsidRPr="009C679F" w:rsidRDefault="00FA75AE" w:rsidP="00FA75AE">
      <w:pPr>
        <w:pStyle w:val="BodyText"/>
        <w:widowControl/>
        <w:rPr>
          <w:lang w:val="en-GB"/>
        </w:rPr>
      </w:pPr>
    </w:p>
    <w:p w14:paraId="255D71AE" w14:textId="7450E616" w:rsidR="00581D1C" w:rsidRPr="009C679F" w:rsidRDefault="00FA75AE" w:rsidP="00FA75AE">
      <w:pPr>
        <w:pStyle w:val="BodyText"/>
        <w:widowControl/>
        <w:rPr>
          <w:lang w:val="en-GB"/>
        </w:rPr>
      </w:pPr>
      <w:r w:rsidRPr="009C679F">
        <w:rPr>
          <w:lang w:val="en-GB"/>
        </w:rPr>
        <w:t>Investors should refer to the relevant key investor information document for details of the ongoing charge figure applicable to each class of Shares which represents the current charges applied to that class of Shares.</w:t>
      </w:r>
    </w:p>
    <w:p w14:paraId="5BFC27B6" w14:textId="77777777" w:rsidR="00581D1C" w:rsidRPr="009C679F" w:rsidRDefault="00581D1C" w:rsidP="00D06B6E">
      <w:pPr>
        <w:pStyle w:val="BodyText"/>
        <w:widowControl/>
        <w:rPr>
          <w:lang w:val="en-GB"/>
        </w:rPr>
      </w:pPr>
    </w:p>
    <w:p w14:paraId="5DEEDABA" w14:textId="100A5C56" w:rsidR="00581D1C" w:rsidRPr="009C679F" w:rsidRDefault="00581D1C" w:rsidP="00D06B6E">
      <w:pPr>
        <w:pStyle w:val="Heading1"/>
        <w:widowControl/>
      </w:pPr>
      <w:bookmarkStart w:id="62" w:name="_Toc173750994"/>
      <w:r w:rsidRPr="009C679F">
        <w:t xml:space="preserve">Fees of the Investment </w:t>
      </w:r>
      <w:r w:rsidR="00F85C05" w:rsidRPr="009C679F">
        <w:t>Manager</w:t>
      </w:r>
      <w:bookmarkEnd w:id="62"/>
    </w:p>
    <w:p w14:paraId="2F49EDA9" w14:textId="77777777" w:rsidR="00581D1C" w:rsidRPr="009C679F" w:rsidRDefault="00581D1C" w:rsidP="00D06B6E">
      <w:pPr>
        <w:pStyle w:val="BodyText"/>
        <w:widowControl/>
        <w:rPr>
          <w:lang w:val="en-GB"/>
        </w:rPr>
      </w:pPr>
    </w:p>
    <w:p w14:paraId="422F28F0" w14:textId="3163F5D4" w:rsidR="00581D1C" w:rsidRPr="009C679F" w:rsidRDefault="00581D1C" w:rsidP="00D06B6E">
      <w:pPr>
        <w:pStyle w:val="BodyText"/>
        <w:widowControl/>
        <w:rPr>
          <w:lang w:val="en-GB"/>
        </w:rPr>
      </w:pPr>
      <w:r w:rsidRPr="009C679F">
        <w:rPr>
          <w:lang w:val="en-GB"/>
        </w:rPr>
        <w:t xml:space="preserve">The Investment </w:t>
      </w:r>
      <w:r w:rsidR="00F85C05" w:rsidRPr="009C679F">
        <w:rPr>
          <w:lang w:val="en-GB"/>
        </w:rPr>
        <w:t>Manager</w:t>
      </w:r>
      <w:r w:rsidRPr="009C679F">
        <w:rPr>
          <w:lang w:val="en-GB"/>
        </w:rPr>
        <w:t xml:space="preserve"> shall be entitled to a fee payable out of the assets of the Fund (the “</w:t>
      </w:r>
      <w:r w:rsidRPr="009C679F">
        <w:rPr>
          <w:b/>
          <w:lang w:val="en-GB"/>
        </w:rPr>
        <w:t xml:space="preserve">Investment </w:t>
      </w:r>
      <w:r w:rsidR="00F85C05" w:rsidRPr="009C679F">
        <w:rPr>
          <w:b/>
          <w:lang w:val="en-GB"/>
        </w:rPr>
        <w:t>Management</w:t>
      </w:r>
      <w:r w:rsidRPr="009C679F">
        <w:rPr>
          <w:b/>
          <w:lang w:val="en-GB"/>
        </w:rPr>
        <w:t xml:space="preserve"> Fee</w:t>
      </w:r>
      <w:r w:rsidRPr="009C679F">
        <w:rPr>
          <w:lang w:val="en-GB"/>
        </w:rPr>
        <w:t xml:space="preserve">”). The Investment </w:t>
      </w:r>
      <w:r w:rsidR="00F85C05" w:rsidRPr="009C679F">
        <w:rPr>
          <w:lang w:val="en-GB"/>
        </w:rPr>
        <w:t>Management</w:t>
      </w:r>
      <w:r w:rsidRPr="009C679F">
        <w:rPr>
          <w:lang w:val="en-GB"/>
        </w:rPr>
        <w:t xml:space="preserve"> Fee is payable monthly in arrear and is calculated by reference to the Net Asset Value of the Fund as at each Dealing Day.</w:t>
      </w:r>
    </w:p>
    <w:p w14:paraId="26425009" w14:textId="77777777" w:rsidR="00581D1C" w:rsidRPr="009C679F" w:rsidRDefault="00581D1C" w:rsidP="00D06B6E">
      <w:pPr>
        <w:pStyle w:val="BodyText"/>
        <w:widowControl/>
        <w:rPr>
          <w:lang w:val="en-GB"/>
        </w:rPr>
      </w:pPr>
    </w:p>
    <w:p w14:paraId="590542BC" w14:textId="6C6A1DF0" w:rsidR="00581D1C" w:rsidRPr="009C679F" w:rsidRDefault="00581D1C" w:rsidP="00D06B6E">
      <w:pPr>
        <w:pStyle w:val="BodyText"/>
        <w:widowControl/>
        <w:rPr>
          <w:lang w:val="en-GB"/>
        </w:rPr>
      </w:pPr>
      <w:r w:rsidRPr="009C679F">
        <w:rPr>
          <w:lang w:val="en-GB"/>
        </w:rPr>
        <w:t xml:space="preserve">The current Investment </w:t>
      </w:r>
      <w:r w:rsidR="00F85C05" w:rsidRPr="009C679F">
        <w:rPr>
          <w:lang w:val="en-GB"/>
        </w:rPr>
        <w:t>Management</w:t>
      </w:r>
      <w:r w:rsidRPr="009C679F">
        <w:rPr>
          <w:lang w:val="en-GB"/>
        </w:rPr>
        <w:t xml:space="preserve"> Fee payable in respect of each Class is set out in the table </w:t>
      </w:r>
      <w:r>
        <w:t>under section headed “Key Information for Subscribing and Redeeming – Share Classes”</w:t>
      </w:r>
      <w:r>
        <w:rPr>
          <w:lang w:val="en-GB"/>
        </w:rPr>
        <w:t>.</w:t>
      </w:r>
      <w:r w:rsidRPr="009C679F">
        <w:rPr>
          <w:lang w:val="en-GB"/>
        </w:rPr>
        <w:t xml:space="preserve"> A fee greater than the Investment </w:t>
      </w:r>
      <w:r w:rsidR="00F85C05" w:rsidRPr="009C679F">
        <w:rPr>
          <w:lang w:val="en-GB"/>
        </w:rPr>
        <w:t>Management</w:t>
      </w:r>
      <w:r w:rsidRPr="009C679F">
        <w:rPr>
          <w:lang w:val="en-GB"/>
        </w:rPr>
        <w:t xml:space="preserve"> Fee set out in this Supplement may at any time be charged, upon proper notice to Shareholders, and in accordance with the requirements of the Central Bank.</w:t>
      </w:r>
    </w:p>
    <w:p w14:paraId="39DDFB7E" w14:textId="77777777" w:rsidR="00581D1C" w:rsidRPr="009C679F" w:rsidRDefault="00581D1C" w:rsidP="00D06B6E">
      <w:pPr>
        <w:pStyle w:val="BodyText"/>
        <w:widowControl/>
        <w:rPr>
          <w:lang w:val="en-GB"/>
        </w:rPr>
      </w:pPr>
    </w:p>
    <w:p w14:paraId="1405D868" w14:textId="3FFC0D7F" w:rsidR="00581D1C" w:rsidRPr="009C679F" w:rsidRDefault="00581D1C" w:rsidP="00D06B6E">
      <w:pPr>
        <w:pStyle w:val="BodyText"/>
        <w:widowControl/>
        <w:rPr>
          <w:lang w:val="en-GB"/>
        </w:rPr>
      </w:pPr>
      <w:r w:rsidRPr="009C679F">
        <w:rPr>
          <w:lang w:val="en-GB"/>
        </w:rPr>
        <w:t xml:space="preserve">The Investment </w:t>
      </w:r>
      <w:r w:rsidR="00F85C05" w:rsidRPr="009C679F">
        <w:rPr>
          <w:lang w:val="en-GB"/>
        </w:rPr>
        <w:t>Manager</w:t>
      </w:r>
      <w:r w:rsidRPr="009C679F">
        <w:rPr>
          <w:lang w:val="en-GB"/>
        </w:rPr>
        <w:t xml:space="preserve"> shall also be reimbursed by the Fund for all fees and properly vouched expenses reasonably incurred by the </w:t>
      </w:r>
      <w:r w:rsidR="00473D17" w:rsidRPr="009C679F">
        <w:rPr>
          <w:lang w:val="en-GB"/>
        </w:rPr>
        <w:t>Investment Manager</w:t>
      </w:r>
      <w:r w:rsidR="00F85C05" w:rsidRPr="009C679F">
        <w:rPr>
          <w:lang w:val="en-GB"/>
        </w:rPr>
        <w:t xml:space="preserve"> </w:t>
      </w:r>
      <w:r w:rsidRPr="009C679F">
        <w:rPr>
          <w:lang w:val="en-GB"/>
        </w:rPr>
        <w:t xml:space="preserve">in the performance of its duties. The Investment </w:t>
      </w:r>
      <w:r w:rsidR="00F85C05" w:rsidRPr="009C679F">
        <w:rPr>
          <w:lang w:val="en-GB"/>
        </w:rPr>
        <w:t>Manager’s</w:t>
      </w:r>
      <w:r w:rsidRPr="009C679F">
        <w:rPr>
          <w:lang w:val="en-GB"/>
        </w:rPr>
        <w:t xml:space="preserve"> fee will include any fee to which it is entitled to as Distributor.</w:t>
      </w:r>
    </w:p>
    <w:p w14:paraId="1557A202" w14:textId="77777777" w:rsidR="00581D1C" w:rsidRPr="009C679F" w:rsidRDefault="00581D1C" w:rsidP="00D06B6E">
      <w:pPr>
        <w:pStyle w:val="BodyText"/>
        <w:widowControl/>
        <w:rPr>
          <w:lang w:val="en-GB"/>
        </w:rPr>
      </w:pPr>
    </w:p>
    <w:p w14:paraId="5E7616A4" w14:textId="1248FE7C" w:rsidR="00241DC0" w:rsidRPr="009C679F" w:rsidRDefault="00241DC0" w:rsidP="00D06B6E">
      <w:pPr>
        <w:pStyle w:val="Heading1"/>
        <w:widowControl/>
      </w:pPr>
      <w:bookmarkStart w:id="63" w:name="_Toc173750995"/>
      <w:r w:rsidRPr="009C679F">
        <w:t>Performance Fee</w:t>
      </w:r>
      <w:bookmarkEnd w:id="63"/>
    </w:p>
    <w:p w14:paraId="734F7C20" w14:textId="77777777" w:rsidR="00241DC0" w:rsidRPr="009C679F" w:rsidRDefault="00241DC0" w:rsidP="00D06B6E">
      <w:pPr>
        <w:pStyle w:val="BodyText"/>
        <w:widowControl/>
        <w:rPr>
          <w:lang w:val="en-GB"/>
        </w:rPr>
      </w:pPr>
    </w:p>
    <w:p w14:paraId="4B59BCB4" w14:textId="4F982CDB" w:rsidR="00241DC0" w:rsidRPr="009C679F" w:rsidRDefault="00241DC0" w:rsidP="00D06B6E">
      <w:pPr>
        <w:pStyle w:val="BodyText"/>
        <w:widowControl/>
        <w:rPr>
          <w:lang w:val="en-GB"/>
        </w:rPr>
      </w:pPr>
      <w:r w:rsidRPr="005116AD">
        <w:t xml:space="preserve">As set out in this Supplement, </w:t>
      </w:r>
      <w:r w:rsidR="00D02759">
        <w:t>the accrued</w:t>
      </w:r>
      <w:r w:rsidRPr="005116AD">
        <w:t xml:space="preserve"> Performance Fee</w:t>
      </w:r>
      <w:r w:rsidR="00D02759">
        <w:t>, if any, crystallises and becomes</w:t>
      </w:r>
      <w:r w:rsidRPr="005116AD">
        <w:t xml:space="preserve"> payable </w:t>
      </w:r>
      <w:r w:rsidR="00D02759">
        <w:t>at the end of each Performance Period</w:t>
      </w:r>
      <w:r w:rsidRPr="005116AD">
        <w:t xml:space="preserve"> to the Investment Manager. The Performance Fee in respect of each Share Class shall be calculated as set out below</w:t>
      </w:r>
      <w:r w:rsidRPr="009C679F">
        <w:rPr>
          <w:lang w:val="en-GB"/>
        </w:rPr>
        <w:t>.</w:t>
      </w:r>
    </w:p>
    <w:p w14:paraId="4CA92094" w14:textId="77777777" w:rsidR="00241DC0" w:rsidRPr="009C679F" w:rsidRDefault="00241DC0" w:rsidP="00D06B6E">
      <w:pPr>
        <w:pStyle w:val="BodyText"/>
        <w:widowControl/>
        <w:rPr>
          <w:lang w:val="en-GB"/>
        </w:rPr>
      </w:pPr>
    </w:p>
    <w:p w14:paraId="5527E6F1" w14:textId="056BDDD8" w:rsidR="00241DC0" w:rsidRPr="009C679F" w:rsidRDefault="00241DC0" w:rsidP="005116AD">
      <w:pPr>
        <w:pStyle w:val="BodyText1"/>
        <w:widowControl/>
        <w:rPr>
          <w:lang w:val="en-GB"/>
        </w:rPr>
      </w:pPr>
      <w:r w:rsidRPr="009C679F">
        <w:rPr>
          <w:lang w:val="en-GB"/>
        </w:rPr>
        <w:t>For the purposes of this Supplement</w:t>
      </w:r>
      <w:r>
        <w:rPr>
          <w:lang w:val="en-GB"/>
        </w:rPr>
        <w:t xml:space="preserve"> and </w:t>
      </w:r>
      <w:r w:rsidRPr="009C679F">
        <w:rPr>
          <w:lang w:val="en-GB"/>
        </w:rPr>
        <w:t>in the context of the Performance Fee</w:t>
      </w:r>
      <w:r w:rsidR="004136ED">
        <w:rPr>
          <w:lang w:val="en-GB"/>
        </w:rPr>
        <w:t xml:space="preserve">, </w:t>
      </w:r>
      <w:r w:rsidRPr="009C679F">
        <w:rPr>
          <w:b/>
          <w:lang w:val="en-GB"/>
        </w:rPr>
        <w:t xml:space="preserve">“Peak Net Asset Value per Class” </w:t>
      </w:r>
      <w:r w:rsidRPr="009C679F">
        <w:rPr>
          <w:lang w:val="en-GB"/>
        </w:rPr>
        <w:t xml:space="preserve">means, in respect of a Class, the greater of (i) the Net Asset Value (adjusted for capital activity / dividends) of that Class at the close of the Initial Offer Period; and (ii) the highest </w:t>
      </w:r>
      <w:r w:rsidRPr="009C679F">
        <w:rPr>
          <w:lang w:val="en-GB"/>
        </w:rPr>
        <w:lastRenderedPageBreak/>
        <w:t>Net Asset Value of that Class in effect immediately after the end of the previous Performance Period in respect of which a Performance Fee was charged.</w:t>
      </w:r>
    </w:p>
    <w:p w14:paraId="76D387C9" w14:textId="77777777" w:rsidR="00241DC0" w:rsidRPr="009C679F" w:rsidRDefault="00241DC0" w:rsidP="00D06B6E">
      <w:pPr>
        <w:pStyle w:val="BodyText"/>
        <w:widowControl/>
        <w:rPr>
          <w:lang w:val="en-GB"/>
        </w:rPr>
      </w:pPr>
    </w:p>
    <w:p w14:paraId="2C0D1ADD" w14:textId="3EC72499" w:rsidR="00241DC0" w:rsidRPr="005116AD" w:rsidRDefault="00D02759" w:rsidP="00D06B6E">
      <w:pPr>
        <w:pStyle w:val="BodyText"/>
        <w:widowControl/>
      </w:pPr>
      <w:r>
        <w:t xml:space="preserve">The Investment Manager is entitled to receive a </w:t>
      </w:r>
      <w:r w:rsidR="00241DC0" w:rsidRPr="005116AD">
        <w:t xml:space="preserve">Performance Fee </w:t>
      </w:r>
      <w:r>
        <w:t>out</w:t>
      </w:r>
      <w:r w:rsidRPr="005116AD">
        <w:t xml:space="preserve"> of the </w:t>
      </w:r>
      <w:r>
        <w:t xml:space="preserve">assets attributable to each Share Class. The Performance Fee payable in </w:t>
      </w:r>
      <w:r w:rsidR="00241DC0" w:rsidRPr="006A484E">
        <w:t xml:space="preserve">respect </w:t>
      </w:r>
      <w:r>
        <w:t>of each Share Class will be calculated on a per Class basis. The Performance Fee will be calculated and accrue as at each Valuation Point and the accrual will be reflected in</w:t>
      </w:r>
      <w:r w:rsidR="00241DC0" w:rsidRPr="005116AD">
        <w:t xml:space="preserve"> the Net Asset Value </w:t>
      </w:r>
      <w:r>
        <w:t xml:space="preserve">of the relevant Share Class. The Performance Fee shall be equal to the Relevant Percentage multiplied by the amount by which the Net Asset Value per Class exceeds </w:t>
      </w:r>
      <w:r w:rsidRPr="005116AD">
        <w:t xml:space="preserve">the </w:t>
      </w:r>
      <w:r w:rsidR="00241DC0" w:rsidRPr="005116AD">
        <w:t xml:space="preserve">Peak Net Asset Value per </w:t>
      </w:r>
      <w:r>
        <w:t>Class as</w:t>
      </w:r>
      <w:r w:rsidR="00241DC0" w:rsidRPr="005116AD">
        <w:t xml:space="preserve"> at the end of </w:t>
      </w:r>
      <w:r>
        <w:t>the</w:t>
      </w:r>
      <w:r w:rsidR="00241DC0" w:rsidRPr="005116AD">
        <w:t xml:space="preserve"> Performance Period</w:t>
      </w:r>
      <w:r>
        <w:t xml:space="preserve">, plus any Performance Fee accrued in relation to the class in respect </w:t>
      </w:r>
      <w:r w:rsidR="00241DC0" w:rsidRPr="005116AD">
        <w:t xml:space="preserve">of </w:t>
      </w:r>
      <w:r>
        <w:t>redemptions during the Performance Period</w:t>
      </w:r>
      <w:r w:rsidR="00241DC0" w:rsidRPr="005116AD">
        <w:t>.</w:t>
      </w:r>
    </w:p>
    <w:p w14:paraId="2CD730EE" w14:textId="77777777" w:rsidR="00241DC0" w:rsidRPr="005116AD" w:rsidRDefault="00241DC0" w:rsidP="00D06B6E">
      <w:pPr>
        <w:pStyle w:val="BodyText"/>
        <w:widowControl/>
      </w:pPr>
    </w:p>
    <w:p w14:paraId="21CAE883" w14:textId="793B869E" w:rsidR="00241DC0" w:rsidRPr="006A484E" w:rsidRDefault="00241DC0" w:rsidP="00D06B6E">
      <w:pPr>
        <w:pStyle w:val="BodyText"/>
        <w:widowControl/>
      </w:pPr>
      <w:r w:rsidRPr="005116AD">
        <w:t xml:space="preserve">For the first Performance Period (as set out in the table </w:t>
      </w:r>
      <w:r w:rsidR="00D02759">
        <w:t>under section headed “Key Information for Subscribing and Redeeming – Share Classes”</w:t>
      </w:r>
      <w:r w:rsidR="00D02759" w:rsidRPr="005116AD">
        <w:t xml:space="preserve"> </w:t>
      </w:r>
      <w:r w:rsidRPr="005116AD">
        <w:t xml:space="preserve">in respect of each Share Class) </w:t>
      </w:r>
      <w:r w:rsidR="00D02759">
        <w:t xml:space="preserve">in which Shares are </w:t>
      </w:r>
      <w:r w:rsidR="00D02759" w:rsidRPr="005116AD">
        <w:t xml:space="preserve">first </w:t>
      </w:r>
      <w:r w:rsidR="00D02759">
        <w:t>issued, the end</w:t>
      </w:r>
      <w:r w:rsidRPr="006A484E">
        <w:t xml:space="preserve"> of </w:t>
      </w:r>
      <w:r w:rsidR="00D02759">
        <w:t xml:space="preserve">the relevant </w:t>
      </w:r>
      <w:r w:rsidR="00D02759" w:rsidRPr="005116AD">
        <w:t xml:space="preserve">Initial </w:t>
      </w:r>
      <w:r w:rsidR="00D02759">
        <w:t>Offer Period is considered the beginning</w:t>
      </w:r>
      <w:r w:rsidRPr="006A484E">
        <w:t xml:space="preserve"> of the </w:t>
      </w:r>
      <w:r w:rsidR="00D02759">
        <w:t xml:space="preserve">first Performance Period </w:t>
      </w:r>
      <w:r w:rsidRPr="005116AD">
        <w:t xml:space="preserve">and the </w:t>
      </w:r>
      <w:r w:rsidR="00D02759">
        <w:t xml:space="preserve">proceeds of </w:t>
      </w:r>
      <w:r w:rsidRPr="005116AD">
        <w:t xml:space="preserve">the </w:t>
      </w:r>
      <w:r w:rsidR="00D02759">
        <w:t xml:space="preserve">initial offer is considered the Peak </w:t>
      </w:r>
      <w:r w:rsidRPr="006A484E">
        <w:t xml:space="preserve">Net Asset Value per </w:t>
      </w:r>
      <w:r w:rsidR="00D02759">
        <w:t>Class at</w:t>
      </w:r>
      <w:r w:rsidRPr="006A484E">
        <w:t xml:space="preserve"> the </w:t>
      </w:r>
      <w:r w:rsidR="00D02759">
        <w:t>beginning</w:t>
      </w:r>
      <w:r w:rsidR="00D02759" w:rsidRPr="005116AD">
        <w:t xml:space="preserve"> of the </w:t>
      </w:r>
      <w:r w:rsidR="00D02759">
        <w:t xml:space="preserve">first </w:t>
      </w:r>
      <w:r w:rsidRPr="006A484E">
        <w:t>Performance Period</w:t>
      </w:r>
      <w:r w:rsidR="00D02759">
        <w:t xml:space="preserve">. </w:t>
      </w:r>
    </w:p>
    <w:p w14:paraId="0046B8DE" w14:textId="77777777" w:rsidR="00241DC0" w:rsidRPr="006A484E" w:rsidRDefault="00241DC0" w:rsidP="006A484E">
      <w:pPr>
        <w:pStyle w:val="BodyText"/>
        <w:ind w:left="720"/>
      </w:pPr>
    </w:p>
    <w:p w14:paraId="342ED6DE" w14:textId="49822DE5" w:rsidR="00241DC0" w:rsidRPr="005116AD" w:rsidRDefault="00241DC0" w:rsidP="00D06B6E">
      <w:pPr>
        <w:pStyle w:val="BodyText"/>
        <w:widowControl/>
      </w:pPr>
      <w:r w:rsidRPr="006A484E">
        <w:t xml:space="preserve">For the </w:t>
      </w:r>
      <w:r w:rsidR="00D02759">
        <w:t>purposes</w:t>
      </w:r>
      <w:r w:rsidRPr="005116AD">
        <w:t xml:space="preserve"> of the </w:t>
      </w:r>
      <w:r w:rsidRPr="006A484E">
        <w:t xml:space="preserve">Performance Fee </w:t>
      </w:r>
      <w:r w:rsidR="00D02759">
        <w:t xml:space="preserve">calculation, excess performance </w:t>
      </w:r>
      <w:r w:rsidRPr="006A484E">
        <w:t xml:space="preserve">shall be calculated </w:t>
      </w:r>
      <w:r w:rsidR="00D02759">
        <w:t xml:space="preserve">net of all costs </w:t>
      </w:r>
      <w:r w:rsidRPr="006A484E">
        <w:t xml:space="preserve">by reference to the Net Asset Value per </w:t>
      </w:r>
      <w:r w:rsidR="00D02759">
        <w:t>Class</w:t>
      </w:r>
      <w:r w:rsidRPr="006A484E">
        <w:t xml:space="preserve"> before </w:t>
      </w:r>
      <w:r w:rsidR="00D02759">
        <w:t xml:space="preserve">the </w:t>
      </w:r>
      <w:r w:rsidRPr="006A484E">
        <w:t xml:space="preserve">deduction </w:t>
      </w:r>
      <w:r w:rsidR="00D02759">
        <w:t xml:space="preserve">of any accrual </w:t>
      </w:r>
      <w:r w:rsidRPr="006A484E">
        <w:t>for Performance Fee</w:t>
      </w:r>
      <w:r w:rsidR="00D02759">
        <w:t xml:space="preserve"> for that</w:t>
      </w:r>
      <w:r w:rsidRPr="006A484E">
        <w:t xml:space="preserve"> Performance </w:t>
      </w:r>
      <w:r w:rsidR="00D02759">
        <w:t>Period, provided that in doing so it is</w:t>
      </w:r>
      <w:r w:rsidRPr="006A484E">
        <w:t xml:space="preserve"> in the </w:t>
      </w:r>
      <w:r w:rsidR="00D02759">
        <w:t>investor’s best interest</w:t>
      </w:r>
      <w:r w:rsidRPr="006A484E">
        <w:t xml:space="preserve">. For the avoidance of doubt, no Performance Fee will be </w:t>
      </w:r>
      <w:r w:rsidR="00D02759">
        <w:t xml:space="preserve">accrued or paid until the Net Asset Value per Class exceeds the Peak Net Asset Value per Class. The Performance Fee is only payable or paid on the increase of the Net Asset Value per Class over the Peak Net Asset Value per Class. Where Performance Fees are </w:t>
      </w:r>
      <w:r w:rsidRPr="006A484E">
        <w:t>payable</w:t>
      </w:r>
      <w:r w:rsidR="00D02759">
        <w:t xml:space="preserve"> by the Fund, these will be based on net realised and net unrealised gains and losses as at each calculation date. </w:t>
      </w:r>
    </w:p>
    <w:p w14:paraId="03F5E1AA" w14:textId="77777777" w:rsidR="00241DC0" w:rsidRPr="005116AD" w:rsidRDefault="00241DC0" w:rsidP="005116AD">
      <w:pPr>
        <w:pStyle w:val="BodyText"/>
        <w:ind w:left="720"/>
      </w:pPr>
    </w:p>
    <w:p w14:paraId="0ADEDE8C" w14:textId="4CB9337D" w:rsidR="00241DC0" w:rsidRPr="005116AD" w:rsidRDefault="00241DC0" w:rsidP="00D06B6E">
      <w:pPr>
        <w:pStyle w:val="BodyText"/>
        <w:widowControl/>
      </w:pPr>
      <w:r w:rsidRPr="006A484E">
        <w:t xml:space="preserve">The Performance Fee will be </w:t>
      </w:r>
      <w:r w:rsidR="00D02759">
        <w:t>credited</w:t>
      </w:r>
      <w:r w:rsidRPr="005116AD">
        <w:t xml:space="preserve"> to the Investment Manager in arrear as soon as reasonably practicable after 31 December in each year</w:t>
      </w:r>
      <w:r w:rsidR="00D02759">
        <w:t xml:space="preserve"> (being</w:t>
      </w:r>
      <w:r w:rsidRPr="005116AD">
        <w:t xml:space="preserve"> the </w:t>
      </w:r>
      <w:r w:rsidR="00D02759">
        <w:t xml:space="preserve">crystallisation date, save where Shares are redeemed during a Performance Period, and in that case, the calculation of the </w:t>
      </w:r>
      <w:r w:rsidRPr="005116AD">
        <w:t xml:space="preserve">Performance Fee </w:t>
      </w:r>
      <w:r w:rsidR="00D02759">
        <w:t xml:space="preserve">will be as described below). The first instalment of Performance Fee for Class I Shares, </w:t>
      </w:r>
      <w:r w:rsidRPr="005116AD">
        <w:t>if relevant</w:t>
      </w:r>
      <w:r w:rsidR="00D02759">
        <w:t xml:space="preserve">, will be payable </w:t>
      </w:r>
      <w:r w:rsidRPr="005116AD">
        <w:t>on or shortly after 31 December 202</w:t>
      </w:r>
      <w:r w:rsidR="00D02759">
        <w:t>4</w:t>
      </w:r>
      <w:r w:rsidRPr="005116AD">
        <w:t xml:space="preserve">. The Investment Manager may from time to time at its sole discretion and out of its own resources decide to give rebates to some or all Shareholders or their agents or intermediaries of part of or all of the Investment Management </w:t>
      </w:r>
      <w:r w:rsidR="00D02759">
        <w:t>F</w:t>
      </w:r>
      <w:r w:rsidRPr="005116AD">
        <w:t>ee and/or the Performance Fee.</w:t>
      </w:r>
    </w:p>
    <w:p w14:paraId="00744F09" w14:textId="77777777" w:rsidR="00D02759" w:rsidRDefault="00D02759" w:rsidP="00DA0595">
      <w:pPr>
        <w:pStyle w:val="BodyText"/>
        <w:widowControl/>
      </w:pPr>
    </w:p>
    <w:p w14:paraId="0908BCAD" w14:textId="77777777" w:rsidR="00D02759" w:rsidRDefault="00D02759" w:rsidP="00DA0595">
      <w:pPr>
        <w:pStyle w:val="BodyText"/>
        <w:keepNext/>
        <w:rPr>
          <w:i/>
          <w:iCs/>
        </w:rPr>
      </w:pPr>
      <w:r>
        <w:rPr>
          <w:i/>
          <w:iCs/>
        </w:rPr>
        <w:t xml:space="preserve">Illustrative example of how the Performance Fee will be calculated </w:t>
      </w:r>
    </w:p>
    <w:p w14:paraId="2F3AF95D" w14:textId="77777777" w:rsidR="00D02759" w:rsidRDefault="00D02759" w:rsidP="00DA0595">
      <w:pPr>
        <w:pStyle w:val="BodyText"/>
        <w:keepNext/>
        <w:rPr>
          <w:i/>
          <w:iCs/>
          <w:u w:val="single"/>
        </w:rPr>
      </w:pPr>
    </w:p>
    <w:p w14:paraId="047D32D4" w14:textId="77777777" w:rsidR="00D02759" w:rsidRDefault="00D02759" w:rsidP="00DA0595">
      <w:pPr>
        <w:pStyle w:val="BodyText"/>
        <w:keepNext/>
        <w:widowControl/>
        <w:rPr>
          <w:i/>
          <w:iCs/>
          <w:u w:val="single"/>
        </w:rPr>
      </w:pPr>
      <w:r>
        <w:rPr>
          <w:i/>
          <w:iCs/>
          <w:u w:val="single"/>
        </w:rPr>
        <w:t>Class J</w:t>
      </w:r>
    </w:p>
    <w:p w14:paraId="5213962A" w14:textId="77777777" w:rsidR="00D02759" w:rsidRDefault="00D02759" w:rsidP="00251E56">
      <w:pPr>
        <w:pStyle w:val="BodyText"/>
        <w:keepNext/>
        <w:widowControl/>
        <w:rPr>
          <w:i/>
          <w:iCs/>
          <w:u w:val="single"/>
        </w:rPr>
      </w:pPr>
    </w:p>
    <w:tbl>
      <w:tblPr>
        <w:tblW w:w="9375" w:type="dxa"/>
        <w:jc w:val="right"/>
        <w:tblLayout w:type="fixed"/>
        <w:tblCellMar>
          <w:left w:w="0" w:type="dxa"/>
          <w:right w:w="0" w:type="dxa"/>
        </w:tblCellMar>
        <w:tblLook w:val="04A0" w:firstRow="1" w:lastRow="0" w:firstColumn="1" w:lastColumn="0" w:noHBand="0" w:noVBand="1"/>
      </w:tblPr>
      <w:tblGrid>
        <w:gridCol w:w="822"/>
        <w:gridCol w:w="1276"/>
        <w:gridCol w:w="851"/>
        <w:gridCol w:w="1276"/>
        <w:gridCol w:w="992"/>
        <w:gridCol w:w="1276"/>
        <w:gridCol w:w="850"/>
        <w:gridCol w:w="851"/>
        <w:gridCol w:w="1181"/>
      </w:tblGrid>
      <w:tr w:rsidR="00D02759" w:rsidRPr="00BF1B19" w14:paraId="1DAC8F6C" w14:textId="77777777" w:rsidTr="0052295C">
        <w:trPr>
          <w:trHeight w:val="1662"/>
          <w:jc w:val="right"/>
        </w:trPr>
        <w:tc>
          <w:tcPr>
            <w:tcW w:w="822" w:type="dxa"/>
            <w:tcBorders>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474B2B8" w14:textId="77777777" w:rsidR="00D02759" w:rsidRPr="00BF1B19" w:rsidRDefault="00D02759" w:rsidP="0052295C">
            <w:pPr>
              <w:keepNext/>
              <w:rPr>
                <w:rFonts w:cs="Calibr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tcPr>
          <w:p w14:paraId="1BF91CC1" w14:textId="77777777" w:rsidR="00D02759" w:rsidRPr="00BF1B19" w:rsidRDefault="00D02759" w:rsidP="0052295C">
            <w:pPr>
              <w:keepNext/>
              <w:jc w:val="center"/>
              <w:rPr>
                <w:b/>
                <w:bCs/>
                <w:color w:val="000000"/>
                <w:sz w:val="16"/>
                <w:szCs w:val="16"/>
              </w:rPr>
            </w:pPr>
            <w:r>
              <w:rPr>
                <w:b/>
                <w:bCs/>
                <w:color w:val="000000"/>
                <w:sz w:val="16"/>
                <w:szCs w:val="16"/>
              </w:rPr>
              <w:t>Net Asset Value per Class for Class J at the start of Performance Period</w:t>
            </w:r>
          </w:p>
          <w:p w14:paraId="3ED0DEC5" w14:textId="77777777" w:rsidR="00D02759" w:rsidRPr="00BF1B19" w:rsidRDefault="00D02759" w:rsidP="0052295C">
            <w:pPr>
              <w:keepNext/>
              <w:jc w:val="center"/>
              <w:rPr>
                <w:b/>
                <w:bCs/>
                <w:color w:val="000000"/>
                <w:sz w:val="16"/>
                <w:szCs w:val="16"/>
              </w:rPr>
            </w:pPr>
            <w:r>
              <w:rPr>
                <w:b/>
                <w:bCs/>
                <w:color w:val="000000"/>
                <w:sz w:val="16"/>
                <w:szCs w:val="16"/>
              </w:rPr>
              <w:t>(US$)</w:t>
            </w:r>
          </w:p>
          <w:p w14:paraId="6DFF106B" w14:textId="77777777" w:rsidR="00D02759" w:rsidRPr="00BF1B19" w:rsidRDefault="00D02759" w:rsidP="0052295C">
            <w:pPr>
              <w:keepNext/>
              <w:jc w:val="center"/>
              <w:rPr>
                <w:b/>
                <w:bCs/>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6D25C571" w14:textId="77777777" w:rsidR="00D02759" w:rsidRPr="00BF1B19" w:rsidRDefault="00D02759" w:rsidP="0052295C">
            <w:pPr>
              <w:keepNext/>
              <w:jc w:val="center"/>
              <w:rPr>
                <w:b/>
                <w:bCs/>
                <w:color w:val="000000"/>
                <w:sz w:val="16"/>
                <w:szCs w:val="16"/>
              </w:rPr>
            </w:pPr>
            <w:r>
              <w:rPr>
                <w:b/>
                <w:bCs/>
                <w:color w:val="000000"/>
                <w:sz w:val="16"/>
                <w:szCs w:val="16"/>
              </w:rPr>
              <w:t>Share</w:t>
            </w:r>
          </w:p>
          <w:p w14:paraId="5D146188" w14:textId="77777777" w:rsidR="00D02759" w:rsidRPr="00BF1B19" w:rsidRDefault="00D02759" w:rsidP="0052295C">
            <w:pPr>
              <w:keepNext/>
              <w:jc w:val="center"/>
              <w:rPr>
                <w:sz w:val="16"/>
                <w:szCs w:val="16"/>
              </w:rPr>
            </w:pPr>
            <w:r>
              <w:rPr>
                <w:b/>
                <w:bCs/>
                <w:color w:val="000000"/>
                <w:sz w:val="16"/>
                <w:szCs w:val="16"/>
              </w:rPr>
              <w:t>Class Return (Net of Fees)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71EE8462" w14:textId="77777777" w:rsidR="00D02759" w:rsidRPr="00BF1B19" w:rsidRDefault="00D02759" w:rsidP="0052295C">
            <w:pPr>
              <w:keepNext/>
              <w:jc w:val="center"/>
              <w:rPr>
                <w:b/>
                <w:bCs/>
                <w:color w:val="000000"/>
                <w:sz w:val="16"/>
                <w:szCs w:val="16"/>
              </w:rPr>
            </w:pPr>
            <w:r>
              <w:rPr>
                <w:b/>
                <w:bCs/>
                <w:color w:val="000000"/>
                <w:sz w:val="16"/>
                <w:szCs w:val="16"/>
              </w:rPr>
              <w:t>Net Asset Value per Class for Class J at the end of Performance Period (US$)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tcPr>
          <w:p w14:paraId="6659859B" w14:textId="77777777" w:rsidR="00D02759" w:rsidRPr="00BF1B19" w:rsidRDefault="00D02759" w:rsidP="0052295C">
            <w:pPr>
              <w:keepNext/>
              <w:jc w:val="center"/>
              <w:rPr>
                <w:b/>
                <w:bCs/>
                <w:color w:val="000000"/>
                <w:sz w:val="16"/>
                <w:szCs w:val="16"/>
              </w:rPr>
            </w:pPr>
            <w:r>
              <w:rPr>
                <w:b/>
                <w:bCs/>
                <w:color w:val="000000"/>
                <w:sz w:val="16"/>
                <w:szCs w:val="16"/>
              </w:rPr>
              <w:t>Peak Net Asset Value per Class (US$)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13677BA1" w14:textId="77777777" w:rsidR="00D02759" w:rsidRPr="00BF1B19" w:rsidRDefault="00D02759" w:rsidP="0052295C">
            <w:pPr>
              <w:keepNext/>
              <w:jc w:val="center"/>
              <w:rPr>
                <w:sz w:val="16"/>
                <w:szCs w:val="16"/>
              </w:rPr>
            </w:pPr>
            <w:r>
              <w:rPr>
                <w:b/>
                <w:bCs/>
                <w:color w:val="000000"/>
                <w:sz w:val="16"/>
                <w:szCs w:val="16"/>
              </w:rPr>
              <w:t>Appreciation of Net Asset Value above the Peak Net Asset Value per Class (US$)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03FE8DAF" w14:textId="77777777" w:rsidR="00D02759" w:rsidRPr="00BF1B19" w:rsidRDefault="00D02759" w:rsidP="0052295C">
            <w:pPr>
              <w:keepNext/>
              <w:jc w:val="center"/>
              <w:rPr>
                <w:sz w:val="16"/>
                <w:szCs w:val="16"/>
              </w:rPr>
            </w:pPr>
            <w:r>
              <w:rPr>
                <w:b/>
                <w:bCs/>
                <w:color w:val="000000"/>
                <w:sz w:val="16"/>
                <w:szCs w:val="16"/>
              </w:rPr>
              <w:t>Above Peak Net Asset Value per Class? (Y/N)</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578E1CE8" w14:textId="77777777" w:rsidR="00D02759" w:rsidRPr="00BF1B19" w:rsidRDefault="00D02759" w:rsidP="0052295C">
            <w:pPr>
              <w:keepNext/>
              <w:jc w:val="center"/>
              <w:rPr>
                <w:sz w:val="16"/>
                <w:szCs w:val="16"/>
              </w:rPr>
            </w:pPr>
            <w:r>
              <w:rPr>
                <w:b/>
                <w:bCs/>
                <w:color w:val="000000"/>
                <w:sz w:val="16"/>
                <w:szCs w:val="16"/>
              </w:rPr>
              <w:t>Perfor-mance Fee Charged (US$)</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hideMark/>
          </w:tcPr>
          <w:p w14:paraId="01F7E22D" w14:textId="77777777" w:rsidR="00D02759" w:rsidRPr="00BF1B19" w:rsidRDefault="00D02759" w:rsidP="0052295C">
            <w:pPr>
              <w:keepNext/>
              <w:jc w:val="center"/>
              <w:rPr>
                <w:sz w:val="16"/>
                <w:szCs w:val="16"/>
              </w:rPr>
            </w:pPr>
            <w:r>
              <w:rPr>
                <w:b/>
                <w:bCs/>
                <w:color w:val="000000"/>
                <w:sz w:val="16"/>
                <w:szCs w:val="16"/>
              </w:rPr>
              <w:t>Net of Fee Cash Balance (US$)</w:t>
            </w:r>
          </w:p>
        </w:tc>
      </w:tr>
      <w:tr w:rsidR="00D02759" w:rsidRPr="00BF1B19" w14:paraId="206358BE" w14:textId="77777777" w:rsidTr="0052295C">
        <w:trPr>
          <w:trHeight w:val="503"/>
          <w:jc w:val="right"/>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006E920" w14:textId="77777777" w:rsidR="00D02759" w:rsidRPr="00BF1B19" w:rsidRDefault="00D02759" w:rsidP="0052295C">
            <w:pPr>
              <w:keepNext/>
              <w:rPr>
                <w:sz w:val="16"/>
                <w:szCs w:val="16"/>
              </w:rPr>
            </w:pPr>
            <w:r>
              <w:rPr>
                <w:b/>
                <w:bCs/>
                <w:color w:val="000000"/>
                <w:sz w:val="16"/>
                <w:szCs w:val="16"/>
              </w:rPr>
              <w:t>Year 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42A0E4C" w14:textId="77777777" w:rsidR="00D02759" w:rsidRPr="00BF1B19" w:rsidRDefault="00D02759" w:rsidP="0052295C">
            <w:pPr>
              <w:keepNext/>
              <w:jc w:val="center"/>
              <w:rPr>
                <w:color w:val="000000"/>
                <w:sz w:val="16"/>
                <w:szCs w:val="16"/>
              </w:rPr>
            </w:pPr>
            <w:r>
              <w:rPr>
                <w:color w:val="000000"/>
                <w:sz w:val="16"/>
                <w:szCs w:val="16"/>
              </w:rPr>
              <w:t>100,000.00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C7350C0" w14:textId="77777777" w:rsidR="00D02759" w:rsidRPr="00BF1B19" w:rsidRDefault="00D02759" w:rsidP="0052295C">
            <w:pPr>
              <w:keepNext/>
              <w:jc w:val="center"/>
              <w:rPr>
                <w:sz w:val="16"/>
                <w:szCs w:val="16"/>
              </w:rPr>
            </w:pPr>
            <w:r>
              <w:rPr>
                <w:color w:val="000000"/>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EEDC6BD" w14:textId="77777777" w:rsidR="00D02759" w:rsidRPr="00BF1B19" w:rsidRDefault="00D02759" w:rsidP="0052295C">
            <w:pPr>
              <w:keepNext/>
              <w:jc w:val="center"/>
              <w:rPr>
                <w:sz w:val="16"/>
                <w:szCs w:val="16"/>
              </w:rPr>
            </w:pPr>
            <w:r>
              <w:rPr>
                <w:color w:val="000000"/>
                <w:sz w:val="16"/>
                <w:szCs w:val="16"/>
              </w:rPr>
              <w:t>110,000.00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EE3D91" w14:textId="77777777" w:rsidR="00D02759" w:rsidRPr="00BF1B19" w:rsidRDefault="00D02759" w:rsidP="0052295C">
            <w:pPr>
              <w:keepNext/>
              <w:jc w:val="center"/>
              <w:rPr>
                <w:color w:val="000000"/>
                <w:sz w:val="16"/>
                <w:szCs w:val="16"/>
              </w:rPr>
            </w:pPr>
            <w:r>
              <w:rPr>
                <w:color w:val="000000"/>
                <w:sz w:val="16"/>
                <w:szCs w:val="16"/>
              </w:rPr>
              <w:t>100,000.00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8BCB5B8" w14:textId="77777777" w:rsidR="00D02759" w:rsidRPr="00BF1B19" w:rsidRDefault="00D02759" w:rsidP="0052295C">
            <w:pPr>
              <w:keepNext/>
              <w:jc w:val="center"/>
              <w:rPr>
                <w:sz w:val="16"/>
                <w:szCs w:val="16"/>
              </w:rPr>
            </w:pPr>
            <w:r>
              <w:rPr>
                <w:color w:val="000000"/>
                <w:sz w:val="16"/>
                <w:szCs w:val="16"/>
              </w:rPr>
              <w:t>10,000.00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A945012" w14:textId="77777777" w:rsidR="00D02759" w:rsidRPr="00BF1B19" w:rsidRDefault="00D02759" w:rsidP="0052295C">
            <w:pPr>
              <w:keepNext/>
              <w:jc w:val="center"/>
              <w:rPr>
                <w:sz w:val="16"/>
                <w:szCs w:val="16"/>
              </w:rPr>
            </w:pPr>
            <w:r>
              <w:rPr>
                <w:color w:val="000000"/>
                <w:sz w:val="16"/>
                <w:szCs w:val="16"/>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26D0C90A" w14:textId="77777777" w:rsidR="00D02759" w:rsidRPr="00BF1B19" w:rsidRDefault="00D02759" w:rsidP="0052295C">
            <w:pPr>
              <w:keepNext/>
              <w:jc w:val="center"/>
              <w:rPr>
                <w:sz w:val="16"/>
                <w:szCs w:val="16"/>
              </w:rPr>
            </w:pPr>
            <w:r>
              <w:rPr>
                <w:color w:val="000000"/>
                <w:sz w:val="16"/>
                <w:szCs w:val="16"/>
              </w:rPr>
              <w:t>2,000.00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BD39E8" w14:textId="77777777" w:rsidR="00D02759" w:rsidRPr="00BF1B19" w:rsidRDefault="00D02759" w:rsidP="0052295C">
            <w:pPr>
              <w:keepNext/>
              <w:jc w:val="center"/>
              <w:rPr>
                <w:sz w:val="16"/>
                <w:szCs w:val="16"/>
              </w:rPr>
            </w:pPr>
            <w:r>
              <w:rPr>
                <w:color w:val="000000"/>
                <w:sz w:val="16"/>
                <w:szCs w:val="16"/>
              </w:rPr>
              <w:t>108,000.00</w:t>
            </w:r>
          </w:p>
        </w:tc>
      </w:tr>
      <w:tr w:rsidR="00D02759" w:rsidRPr="00BF1B19" w14:paraId="6BCCD2B7" w14:textId="77777777" w:rsidTr="0052295C">
        <w:trPr>
          <w:trHeight w:val="482"/>
          <w:jc w:val="right"/>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E50343D" w14:textId="77777777" w:rsidR="00D02759" w:rsidRPr="00BF1B19" w:rsidRDefault="00D02759" w:rsidP="0052295C">
            <w:pPr>
              <w:keepNext/>
              <w:rPr>
                <w:sz w:val="16"/>
                <w:szCs w:val="16"/>
              </w:rPr>
            </w:pPr>
            <w:r>
              <w:rPr>
                <w:b/>
                <w:bCs/>
                <w:color w:val="000000"/>
                <w:sz w:val="16"/>
                <w:szCs w:val="16"/>
              </w:rPr>
              <w:t>Year 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F0B904" w14:textId="77777777" w:rsidR="00D02759" w:rsidRPr="00BF1B19" w:rsidRDefault="00D02759" w:rsidP="0052295C">
            <w:pPr>
              <w:keepNext/>
              <w:jc w:val="center"/>
              <w:rPr>
                <w:color w:val="000000"/>
                <w:sz w:val="16"/>
                <w:szCs w:val="16"/>
              </w:rPr>
            </w:pPr>
            <w:r>
              <w:rPr>
                <w:color w:val="000000"/>
                <w:sz w:val="16"/>
                <w:szCs w:val="16"/>
              </w:rPr>
              <w:t>108,000.00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EF69269" w14:textId="77777777" w:rsidR="00D02759" w:rsidRPr="00BF1B19" w:rsidRDefault="00D02759" w:rsidP="0052295C">
            <w:pPr>
              <w:keepNext/>
              <w:jc w:val="center"/>
              <w:rPr>
                <w:sz w:val="16"/>
                <w:szCs w:val="16"/>
              </w:rPr>
            </w:pPr>
            <w:r>
              <w:rPr>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45BBCAE" w14:textId="77777777" w:rsidR="00D02759" w:rsidRPr="00BF1B19" w:rsidRDefault="00D02759" w:rsidP="0052295C">
            <w:pPr>
              <w:keepNext/>
              <w:jc w:val="center"/>
              <w:rPr>
                <w:sz w:val="16"/>
                <w:szCs w:val="16"/>
              </w:rPr>
            </w:pPr>
            <w:r>
              <w:rPr>
                <w:color w:val="000000"/>
                <w:sz w:val="16"/>
                <w:szCs w:val="16"/>
              </w:rPr>
              <w:t>102,600.00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6246D6" w14:textId="77777777" w:rsidR="00D02759" w:rsidRPr="00BF1B19" w:rsidRDefault="00D02759" w:rsidP="0052295C">
            <w:pPr>
              <w:keepNext/>
              <w:jc w:val="center"/>
              <w:rPr>
                <w:color w:val="000000"/>
                <w:sz w:val="16"/>
                <w:szCs w:val="16"/>
              </w:rPr>
            </w:pPr>
            <w:r>
              <w:rPr>
                <w:color w:val="000000"/>
                <w:sz w:val="16"/>
                <w:szCs w:val="16"/>
              </w:rPr>
              <w:t>108,000.00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B446198" w14:textId="77777777" w:rsidR="00D02759" w:rsidRPr="00BF1B19" w:rsidRDefault="00D02759" w:rsidP="0052295C">
            <w:pPr>
              <w:keepNext/>
              <w:jc w:val="center"/>
              <w:rPr>
                <w:sz w:val="16"/>
                <w:szCs w:val="16"/>
              </w:rPr>
            </w:pPr>
            <w:r>
              <w:rPr>
                <w:color w:val="000000"/>
                <w:sz w:val="16"/>
                <w:szCs w:val="16"/>
              </w:rPr>
              <w:t>(5,400.00)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9610CF7" w14:textId="77777777" w:rsidR="00D02759" w:rsidRPr="00BF1B19" w:rsidRDefault="00D02759" w:rsidP="0052295C">
            <w:pPr>
              <w:keepNext/>
              <w:jc w:val="center"/>
              <w:rPr>
                <w:sz w:val="16"/>
                <w:szCs w:val="16"/>
              </w:rPr>
            </w:pPr>
            <w:r>
              <w:rPr>
                <w:color w:val="000000"/>
                <w:sz w:val="16"/>
                <w:szCs w:val="16"/>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6B3B263C" w14:textId="77777777" w:rsidR="00D02759" w:rsidRPr="00BF1B19" w:rsidRDefault="00D02759" w:rsidP="0052295C">
            <w:pPr>
              <w:keepNext/>
              <w:jc w:val="center"/>
              <w:rPr>
                <w:sz w:val="16"/>
                <w:szCs w:val="16"/>
              </w:rPr>
            </w:pPr>
            <w:r>
              <w:rPr>
                <w:color w:val="000000"/>
                <w:sz w:val="16"/>
                <w:szCs w:val="16"/>
              </w:rPr>
              <w:t>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736C913" w14:textId="77777777" w:rsidR="00D02759" w:rsidRPr="00BF1B19" w:rsidRDefault="00D02759" w:rsidP="0052295C">
            <w:pPr>
              <w:keepNext/>
              <w:jc w:val="center"/>
              <w:rPr>
                <w:sz w:val="16"/>
                <w:szCs w:val="16"/>
              </w:rPr>
            </w:pPr>
            <w:r>
              <w:rPr>
                <w:color w:val="000000"/>
                <w:sz w:val="16"/>
                <w:szCs w:val="16"/>
              </w:rPr>
              <w:t>102,600.00</w:t>
            </w:r>
          </w:p>
        </w:tc>
      </w:tr>
      <w:tr w:rsidR="00D02759" w:rsidRPr="00BF1B19" w14:paraId="1B38C816" w14:textId="77777777" w:rsidTr="0052295C">
        <w:trPr>
          <w:trHeight w:val="503"/>
          <w:jc w:val="right"/>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BBC9724" w14:textId="77777777" w:rsidR="00D02759" w:rsidRPr="00BF1B19" w:rsidRDefault="00D02759" w:rsidP="0052295C">
            <w:pPr>
              <w:keepNext/>
              <w:rPr>
                <w:sz w:val="16"/>
                <w:szCs w:val="16"/>
              </w:rPr>
            </w:pPr>
            <w:r>
              <w:rPr>
                <w:b/>
                <w:bCs/>
                <w:color w:val="000000"/>
                <w:sz w:val="16"/>
                <w:szCs w:val="16"/>
              </w:rPr>
              <w:t>Year 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CFEFFD7" w14:textId="77777777" w:rsidR="00D02759" w:rsidRPr="00BF1B19" w:rsidRDefault="00D02759" w:rsidP="0052295C">
            <w:pPr>
              <w:keepNext/>
              <w:jc w:val="center"/>
              <w:rPr>
                <w:color w:val="000000"/>
                <w:sz w:val="16"/>
                <w:szCs w:val="16"/>
              </w:rPr>
            </w:pPr>
            <w:r>
              <w:rPr>
                <w:color w:val="000000"/>
                <w:sz w:val="16"/>
                <w:szCs w:val="16"/>
              </w:rPr>
              <w:t>102,600.00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DA9CB0C" w14:textId="77777777" w:rsidR="00D02759" w:rsidRPr="00BF1B19" w:rsidRDefault="00D02759" w:rsidP="0052295C">
            <w:pPr>
              <w:keepNext/>
              <w:jc w:val="center"/>
              <w:rPr>
                <w:sz w:val="16"/>
                <w:szCs w:val="16"/>
              </w:rPr>
            </w:pPr>
            <w:r>
              <w:rPr>
                <w:color w:val="000000"/>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5DF7395" w14:textId="77777777" w:rsidR="00D02759" w:rsidRPr="00BF1B19" w:rsidRDefault="00D02759" w:rsidP="0052295C">
            <w:pPr>
              <w:keepNext/>
              <w:jc w:val="center"/>
              <w:rPr>
                <w:sz w:val="16"/>
                <w:szCs w:val="16"/>
              </w:rPr>
            </w:pPr>
            <w:r>
              <w:rPr>
                <w:color w:val="000000"/>
                <w:sz w:val="16"/>
                <w:szCs w:val="16"/>
              </w:rPr>
              <w:t>107,730.00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620E5E" w14:textId="77777777" w:rsidR="00D02759" w:rsidRPr="00BF1B19" w:rsidRDefault="00D02759" w:rsidP="0052295C">
            <w:pPr>
              <w:keepNext/>
              <w:jc w:val="center"/>
              <w:rPr>
                <w:color w:val="000000"/>
                <w:sz w:val="16"/>
                <w:szCs w:val="16"/>
              </w:rPr>
            </w:pPr>
            <w:r>
              <w:rPr>
                <w:color w:val="000000"/>
                <w:sz w:val="16"/>
                <w:szCs w:val="16"/>
              </w:rPr>
              <w:t>108,000.00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4CE13EC" w14:textId="77777777" w:rsidR="00D02759" w:rsidRPr="00BF1B19" w:rsidRDefault="00D02759" w:rsidP="0052295C">
            <w:pPr>
              <w:keepNext/>
              <w:jc w:val="center"/>
              <w:rPr>
                <w:sz w:val="16"/>
                <w:szCs w:val="16"/>
              </w:rPr>
            </w:pPr>
            <w:r>
              <w:rPr>
                <w:color w:val="000000"/>
                <w:sz w:val="16"/>
                <w:szCs w:val="16"/>
              </w:rPr>
              <w:t>(270.00)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0DF349A" w14:textId="77777777" w:rsidR="00D02759" w:rsidRPr="00BF1B19" w:rsidRDefault="00D02759" w:rsidP="0052295C">
            <w:pPr>
              <w:keepNext/>
              <w:jc w:val="center"/>
              <w:rPr>
                <w:sz w:val="16"/>
                <w:szCs w:val="16"/>
              </w:rPr>
            </w:pPr>
            <w:r>
              <w:rPr>
                <w:color w:val="000000"/>
                <w:sz w:val="16"/>
                <w:szCs w:val="16"/>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1DF1D90E" w14:textId="77777777" w:rsidR="00D02759" w:rsidRPr="00BF1B19" w:rsidRDefault="00D02759" w:rsidP="0052295C">
            <w:pPr>
              <w:keepNext/>
              <w:jc w:val="center"/>
              <w:rPr>
                <w:sz w:val="16"/>
                <w:szCs w:val="16"/>
              </w:rPr>
            </w:pPr>
            <w:r>
              <w:rPr>
                <w:color w:val="000000"/>
                <w:sz w:val="16"/>
                <w:szCs w:val="16"/>
              </w:rPr>
              <w:t>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220B125" w14:textId="77777777" w:rsidR="00D02759" w:rsidRPr="00BF1B19" w:rsidRDefault="00D02759" w:rsidP="0052295C">
            <w:pPr>
              <w:keepNext/>
              <w:jc w:val="center"/>
              <w:rPr>
                <w:sz w:val="16"/>
                <w:szCs w:val="16"/>
              </w:rPr>
            </w:pPr>
            <w:r>
              <w:rPr>
                <w:color w:val="000000"/>
                <w:sz w:val="16"/>
                <w:szCs w:val="16"/>
              </w:rPr>
              <w:t>107,730.00</w:t>
            </w:r>
          </w:p>
        </w:tc>
      </w:tr>
      <w:tr w:rsidR="00D02759" w:rsidRPr="00BF1B19" w14:paraId="3A3CEF28" w14:textId="77777777" w:rsidTr="0052295C">
        <w:trPr>
          <w:trHeight w:val="503"/>
          <w:jc w:val="right"/>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C60C031" w14:textId="77777777" w:rsidR="00D02759" w:rsidRPr="00BF1B19" w:rsidRDefault="00D02759" w:rsidP="0052295C">
            <w:pPr>
              <w:keepNext/>
              <w:rPr>
                <w:sz w:val="16"/>
                <w:szCs w:val="16"/>
              </w:rPr>
            </w:pPr>
            <w:r>
              <w:rPr>
                <w:b/>
                <w:bCs/>
                <w:color w:val="000000"/>
                <w:sz w:val="16"/>
                <w:szCs w:val="16"/>
              </w:rPr>
              <w:t>Year 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BA0D96" w14:textId="77777777" w:rsidR="00D02759" w:rsidRPr="00BF1B19" w:rsidRDefault="00D02759" w:rsidP="0052295C">
            <w:pPr>
              <w:keepNext/>
              <w:jc w:val="center"/>
              <w:rPr>
                <w:color w:val="000000"/>
                <w:sz w:val="16"/>
                <w:szCs w:val="16"/>
              </w:rPr>
            </w:pPr>
            <w:r>
              <w:rPr>
                <w:color w:val="000000"/>
                <w:sz w:val="16"/>
                <w:szCs w:val="16"/>
              </w:rPr>
              <w:t>107,730.00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AA82203" w14:textId="77777777" w:rsidR="00D02759" w:rsidRPr="00BF1B19" w:rsidRDefault="00D02759" w:rsidP="0052295C">
            <w:pPr>
              <w:keepNext/>
              <w:jc w:val="center"/>
              <w:rPr>
                <w:sz w:val="16"/>
                <w:szCs w:val="16"/>
              </w:rPr>
            </w:pPr>
            <w:r>
              <w:rPr>
                <w:color w:val="000000"/>
                <w:sz w:val="16"/>
                <w:szCs w:val="16"/>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F2DA3DB" w14:textId="77777777" w:rsidR="00D02759" w:rsidRPr="00BF1B19" w:rsidRDefault="00D02759" w:rsidP="0052295C">
            <w:pPr>
              <w:keepNext/>
              <w:jc w:val="center"/>
              <w:rPr>
                <w:sz w:val="16"/>
                <w:szCs w:val="16"/>
              </w:rPr>
            </w:pPr>
            <w:r>
              <w:rPr>
                <w:color w:val="000000"/>
                <w:sz w:val="16"/>
                <w:szCs w:val="16"/>
              </w:rPr>
              <w:t>129,276.00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F3EF6F" w14:textId="77777777" w:rsidR="00D02759" w:rsidRPr="00BF1B19" w:rsidRDefault="00D02759" w:rsidP="0052295C">
            <w:pPr>
              <w:keepNext/>
              <w:jc w:val="center"/>
              <w:rPr>
                <w:color w:val="000000"/>
                <w:sz w:val="16"/>
                <w:szCs w:val="16"/>
              </w:rPr>
            </w:pPr>
            <w:r>
              <w:rPr>
                <w:color w:val="000000"/>
                <w:sz w:val="16"/>
                <w:szCs w:val="16"/>
              </w:rPr>
              <w:t>108,000.00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D355E39" w14:textId="77777777" w:rsidR="00D02759" w:rsidRPr="00BF1B19" w:rsidRDefault="00D02759" w:rsidP="0052295C">
            <w:pPr>
              <w:keepNext/>
              <w:jc w:val="center"/>
              <w:rPr>
                <w:sz w:val="16"/>
                <w:szCs w:val="16"/>
              </w:rPr>
            </w:pPr>
            <w:r>
              <w:rPr>
                <w:sz w:val="16"/>
                <w:szCs w:val="16"/>
              </w:rPr>
              <w:t>21,276.00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36C95F0" w14:textId="77777777" w:rsidR="00D02759" w:rsidRPr="00BF1B19" w:rsidRDefault="00D02759" w:rsidP="0052295C">
            <w:pPr>
              <w:keepNext/>
              <w:jc w:val="center"/>
              <w:rPr>
                <w:sz w:val="16"/>
                <w:szCs w:val="16"/>
              </w:rPr>
            </w:pPr>
            <w:r>
              <w:rPr>
                <w:color w:val="000000"/>
                <w:sz w:val="16"/>
                <w:szCs w:val="16"/>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47C0DAE0" w14:textId="77777777" w:rsidR="00D02759" w:rsidRPr="00BF1B19" w:rsidRDefault="00D02759" w:rsidP="0052295C">
            <w:pPr>
              <w:keepNext/>
              <w:jc w:val="center"/>
              <w:rPr>
                <w:sz w:val="16"/>
                <w:szCs w:val="16"/>
              </w:rPr>
            </w:pPr>
            <w:r>
              <w:rPr>
                <w:sz w:val="16"/>
                <w:szCs w:val="16"/>
              </w:rPr>
              <w:t>4,255.20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C99902D" w14:textId="77777777" w:rsidR="00D02759" w:rsidRPr="00BF1B19" w:rsidRDefault="00D02759" w:rsidP="0052295C">
            <w:pPr>
              <w:keepNext/>
              <w:jc w:val="center"/>
              <w:rPr>
                <w:sz w:val="16"/>
                <w:szCs w:val="16"/>
              </w:rPr>
            </w:pPr>
            <w:r>
              <w:rPr>
                <w:color w:val="000000"/>
                <w:sz w:val="16"/>
                <w:szCs w:val="16"/>
              </w:rPr>
              <w:t>125,020.80</w:t>
            </w:r>
          </w:p>
        </w:tc>
      </w:tr>
      <w:tr w:rsidR="00D02759" w:rsidRPr="00BF1B19" w14:paraId="6874B5DB" w14:textId="77777777" w:rsidTr="0052295C">
        <w:trPr>
          <w:trHeight w:val="503"/>
          <w:jc w:val="right"/>
        </w:trPr>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EAF9F15" w14:textId="77777777" w:rsidR="00D02759" w:rsidRPr="00BF1B19" w:rsidRDefault="00D02759" w:rsidP="0052295C">
            <w:pPr>
              <w:keepNext/>
              <w:rPr>
                <w:b/>
                <w:bCs/>
                <w:color w:val="000000"/>
                <w:sz w:val="16"/>
                <w:szCs w:val="16"/>
              </w:rPr>
            </w:pPr>
            <w:r>
              <w:rPr>
                <w:b/>
                <w:bCs/>
                <w:color w:val="000000"/>
                <w:sz w:val="16"/>
                <w:szCs w:val="16"/>
              </w:rPr>
              <w:t>Year 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276C265" w14:textId="77777777" w:rsidR="00D02759" w:rsidRPr="00BF1B19" w:rsidRDefault="00D02759" w:rsidP="0052295C">
            <w:pPr>
              <w:keepNext/>
              <w:jc w:val="center"/>
              <w:rPr>
                <w:color w:val="000000"/>
                <w:sz w:val="16"/>
                <w:szCs w:val="16"/>
              </w:rPr>
            </w:pPr>
            <w:r>
              <w:rPr>
                <w:color w:val="000000"/>
                <w:sz w:val="16"/>
                <w:szCs w:val="16"/>
              </w:rPr>
              <w:t>125,020.80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10C6765" w14:textId="77777777" w:rsidR="00D02759" w:rsidRPr="00BF1B19" w:rsidRDefault="00D02759" w:rsidP="0052295C">
            <w:pPr>
              <w:keepNext/>
              <w:jc w:val="center"/>
              <w:rPr>
                <w:color w:val="000000"/>
                <w:sz w:val="16"/>
                <w:szCs w:val="16"/>
              </w:rPr>
            </w:pPr>
            <w:r>
              <w:rPr>
                <w:color w:val="000000"/>
                <w:sz w:val="16"/>
                <w:szCs w:val="16"/>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3E76B34" w14:textId="77777777" w:rsidR="00D02759" w:rsidRPr="00BF1B19" w:rsidRDefault="00D02759" w:rsidP="0052295C">
            <w:pPr>
              <w:keepNext/>
              <w:jc w:val="center"/>
              <w:rPr>
                <w:color w:val="000000"/>
                <w:sz w:val="16"/>
                <w:szCs w:val="16"/>
              </w:rPr>
            </w:pPr>
            <w:r>
              <w:rPr>
                <w:color w:val="000000"/>
                <w:sz w:val="16"/>
                <w:szCs w:val="16"/>
              </w:rPr>
              <w:t>137,522.88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00877BE" w14:textId="77777777" w:rsidR="00D02759" w:rsidRPr="00BF1B19" w:rsidRDefault="00D02759" w:rsidP="0052295C">
            <w:pPr>
              <w:keepNext/>
              <w:jc w:val="center"/>
              <w:rPr>
                <w:color w:val="000000"/>
                <w:sz w:val="16"/>
                <w:szCs w:val="16"/>
              </w:rPr>
            </w:pPr>
            <w:r>
              <w:rPr>
                <w:color w:val="000000"/>
                <w:sz w:val="16"/>
                <w:szCs w:val="16"/>
              </w:rPr>
              <w:t>125,020.80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FE6834C" w14:textId="77777777" w:rsidR="00D02759" w:rsidRPr="00BF1B19" w:rsidRDefault="00D02759" w:rsidP="0052295C">
            <w:pPr>
              <w:keepNext/>
              <w:jc w:val="center"/>
              <w:rPr>
                <w:color w:val="000000"/>
                <w:sz w:val="16"/>
                <w:szCs w:val="16"/>
              </w:rPr>
            </w:pPr>
            <w:r>
              <w:rPr>
                <w:color w:val="000000"/>
                <w:sz w:val="16"/>
                <w:szCs w:val="16"/>
              </w:rPr>
              <w:t>12,502.08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947DB30" w14:textId="77777777" w:rsidR="00D02759" w:rsidRPr="00BF1B19" w:rsidRDefault="00D02759" w:rsidP="0052295C">
            <w:pPr>
              <w:keepNext/>
              <w:jc w:val="center"/>
              <w:rPr>
                <w:color w:val="000000"/>
                <w:sz w:val="16"/>
                <w:szCs w:val="16"/>
              </w:rPr>
            </w:pPr>
            <w:r>
              <w:rPr>
                <w:color w:val="000000"/>
                <w:sz w:val="16"/>
                <w:szCs w:val="16"/>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54B0C5E2" w14:textId="77777777" w:rsidR="00D02759" w:rsidRPr="00BF1B19" w:rsidRDefault="00D02759" w:rsidP="0052295C">
            <w:pPr>
              <w:keepNext/>
              <w:jc w:val="center"/>
              <w:rPr>
                <w:color w:val="000000"/>
                <w:sz w:val="16"/>
                <w:szCs w:val="16"/>
              </w:rPr>
            </w:pPr>
            <w:r>
              <w:rPr>
                <w:color w:val="000000"/>
                <w:sz w:val="16"/>
                <w:szCs w:val="16"/>
              </w:rPr>
              <w:t>2,500.42</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CA45C46" w14:textId="77777777" w:rsidR="00D02759" w:rsidRPr="00BF1B19" w:rsidRDefault="00D02759" w:rsidP="0052295C">
            <w:pPr>
              <w:keepNext/>
              <w:jc w:val="center"/>
              <w:rPr>
                <w:color w:val="000000"/>
                <w:sz w:val="16"/>
                <w:szCs w:val="16"/>
              </w:rPr>
            </w:pPr>
            <w:r>
              <w:rPr>
                <w:color w:val="000000"/>
                <w:sz w:val="16"/>
                <w:szCs w:val="16"/>
              </w:rPr>
              <w:t>135,022.46</w:t>
            </w:r>
          </w:p>
        </w:tc>
      </w:tr>
    </w:tbl>
    <w:p w14:paraId="607176E3" w14:textId="77777777" w:rsidR="00D02759" w:rsidRPr="009C679F" w:rsidRDefault="00D02759" w:rsidP="00D02759">
      <w:pPr>
        <w:pStyle w:val="BodyText"/>
        <w:widowControl/>
        <w:rPr>
          <w:lang w:val="en-GB"/>
        </w:rPr>
      </w:pPr>
    </w:p>
    <w:p w14:paraId="7BEAC49E" w14:textId="77777777" w:rsidR="00D02759" w:rsidRPr="00BF1B19" w:rsidRDefault="00D02759" w:rsidP="00DA0595">
      <w:pPr>
        <w:pStyle w:val="BodyText"/>
        <w:widowControl/>
      </w:pPr>
      <w:r>
        <w:t>This illustrative example assumes that an investment of US$100,000 is made on the first day of the calendar year in Class J, the Class of which attracts a Performance Fee of 20%.</w:t>
      </w:r>
    </w:p>
    <w:p w14:paraId="7885DFA6" w14:textId="77777777" w:rsidR="00D02759" w:rsidRPr="00BF1B19" w:rsidRDefault="00D02759" w:rsidP="00DA0595">
      <w:pPr>
        <w:pStyle w:val="BodyText"/>
      </w:pPr>
    </w:p>
    <w:p w14:paraId="42E1E60E" w14:textId="77777777" w:rsidR="00D02759" w:rsidRPr="00BF1B19" w:rsidRDefault="00D02759" w:rsidP="00DA0595">
      <w:pPr>
        <w:pStyle w:val="BodyText"/>
        <w:widowControl/>
      </w:pPr>
      <w:r>
        <w:t xml:space="preserve">In Year 1, the returns of Class J is 10%, meaning that the initial US$100,000 invested in Class J is worth US$110,000 at the end of Year 1. For the first Performance Period, the Performance Fee is </w:t>
      </w:r>
      <w:r>
        <w:lastRenderedPageBreak/>
        <w:t>20% of the appreciation of the Net Asset Value per Class above the initial investment value. The Performance Fee is 20% of US$10,000, which equals to US$2,000. This US$2,000 is deducted from the value of the holding, leaving US$108,000 for the Shareholder. The Peak Net Asset Value per Class at the end of Year 1 is therefore US$108,000.</w:t>
      </w:r>
    </w:p>
    <w:p w14:paraId="6F437F93" w14:textId="77777777" w:rsidR="00D02759" w:rsidRPr="00BF1B19" w:rsidRDefault="00D02759" w:rsidP="00DA0595">
      <w:pPr>
        <w:pStyle w:val="BodyText"/>
      </w:pPr>
    </w:p>
    <w:p w14:paraId="0B82181A" w14:textId="77777777" w:rsidR="00241DC0" w:rsidRDefault="00D02759" w:rsidP="00DA0595">
      <w:pPr>
        <w:pStyle w:val="BodyText"/>
        <w:widowControl/>
      </w:pPr>
      <w:r>
        <w:t>In Year 2, Class J’s performance declines by 5%, meaning that the value of holding at the end of Year 2 is worth US$102,600. However, because the Net Asset Value per Class of US$102,600 is below the Peak Net Asset Value per Class of US$108,000, no Performance Fee is charged. The Peak Net Asset Value per Class at the end of Year 2 remains at US$108,000.</w:t>
      </w:r>
    </w:p>
    <w:p w14:paraId="18E34DED" w14:textId="77777777" w:rsidR="00D02759" w:rsidRDefault="00D02759" w:rsidP="00DA0595">
      <w:pPr>
        <w:pStyle w:val="BodyText"/>
        <w:widowControl/>
      </w:pPr>
    </w:p>
    <w:p w14:paraId="63314494" w14:textId="77777777" w:rsidR="00D02759" w:rsidRPr="00BF1B19" w:rsidRDefault="00D02759" w:rsidP="00DA0595">
      <w:pPr>
        <w:pStyle w:val="BodyText"/>
        <w:widowControl/>
      </w:pPr>
      <w:r>
        <w:t xml:space="preserve">In Year 3, the returns of Class J is 5%, meaning that the value of holding at the end of Year 3 is worth US$107,730. Again, no Performance Fee is charged as the Net Asset Value per Class of US$107,730 is still below the Peak Net Asset Value per Class of US$108,000. The Peak Net Asset Value per Class at the end of Year 3 remains at US$108,000. </w:t>
      </w:r>
    </w:p>
    <w:p w14:paraId="7420C68B" w14:textId="77777777" w:rsidR="00D02759" w:rsidRPr="00BF1B19" w:rsidRDefault="00D02759" w:rsidP="00DA0595">
      <w:pPr>
        <w:pStyle w:val="BodyText"/>
      </w:pPr>
    </w:p>
    <w:p w14:paraId="286DA81A" w14:textId="77777777" w:rsidR="00D02759" w:rsidRPr="00BF1B19" w:rsidRDefault="00D02759" w:rsidP="00DA0595">
      <w:pPr>
        <w:pStyle w:val="BodyText"/>
        <w:widowControl/>
      </w:pPr>
      <w:r>
        <w:t xml:space="preserve">In Year 4, the returns of Class J is 20%, meaning that the value of holding at the end of Year 4 is worth US$129,276, above the Peak Net Asset Value per Class of US$108,000. Performance Fee is therefore charged on the appreciation of Net Asset Value per Class above the Peak Net Asset Value per Class (i.e. US$129,276.00 – US$108,000). The Performance Fee is 20% of US$21,276.00, which equals to US$4,255.20. The Peak Net Asset Value per Class at the end of Year 4 is increased to US$125,020.80. </w:t>
      </w:r>
    </w:p>
    <w:p w14:paraId="11D6AC9D" w14:textId="77777777" w:rsidR="00D02759" w:rsidRPr="00BF1B19" w:rsidRDefault="00D02759" w:rsidP="00DA0595">
      <w:pPr>
        <w:pStyle w:val="BodyText"/>
      </w:pPr>
    </w:p>
    <w:p w14:paraId="73A8BB3B" w14:textId="77777777" w:rsidR="00D02759" w:rsidRDefault="00D02759" w:rsidP="00DA0595">
      <w:pPr>
        <w:pStyle w:val="BodyText"/>
        <w:widowControl/>
      </w:pPr>
      <w:r>
        <w:t>In Year 5, the returns of Class J is 10%, meaning the value of holding at the end of Year 5 is worth US$137,522.88, above the Peak Net Asset Value per Class of US$125,020.80. Performance Fee is therefore charged on the appreciation of Net Asset Value per Class above the Peak Net Asset Value per Class (i.e. US$137,522.88 - US$125,020.80). The Performance Fee is 20% of US$12,502.08, which equals to US$2,500.42 (rounded to the nearest cent). The Peak Net Asset Value per Class at the end of Year 5 is increased to US$135,022.46.</w:t>
      </w:r>
    </w:p>
    <w:p w14:paraId="2B23A91E" w14:textId="77777777" w:rsidR="00D02759" w:rsidRDefault="00D02759" w:rsidP="00DA0595">
      <w:pPr>
        <w:pStyle w:val="BodyText"/>
        <w:widowControl/>
      </w:pPr>
    </w:p>
    <w:p w14:paraId="121B9FEB" w14:textId="77777777" w:rsidR="00D02759" w:rsidRPr="00D02759" w:rsidRDefault="00C01A38" w:rsidP="00DA0595">
      <w:pPr>
        <w:pStyle w:val="BodyText"/>
        <w:keepNext/>
        <w:widowControl/>
        <w:rPr>
          <w:i/>
          <w:iCs/>
          <w:u w:val="single"/>
        </w:rPr>
      </w:pPr>
      <w:r>
        <w:rPr>
          <w:i/>
          <w:iCs/>
          <w:u w:val="single"/>
        </w:rPr>
        <w:t>Other Classes</w:t>
      </w:r>
    </w:p>
    <w:p w14:paraId="36368B68" w14:textId="77777777" w:rsidR="00241DC0" w:rsidRPr="005116AD" w:rsidRDefault="00241DC0" w:rsidP="005116AD">
      <w:pPr>
        <w:pStyle w:val="BodyText"/>
        <w:keepNext/>
      </w:pPr>
    </w:p>
    <w:p w14:paraId="3362F764" w14:textId="77777777" w:rsidR="00D02759" w:rsidRDefault="00241DC0" w:rsidP="00DA0595">
      <w:pPr>
        <w:pStyle w:val="BodyText"/>
        <w:widowControl/>
      </w:pPr>
      <w:r w:rsidRPr="005116AD">
        <w:t xml:space="preserve">For </w:t>
      </w:r>
      <w:r w:rsidR="00D02759">
        <w:t>Classes I</w:t>
      </w:r>
      <w:r w:rsidR="008E27C2">
        <w:t xml:space="preserve"> and</w:t>
      </w:r>
      <w:r w:rsidR="00D02759">
        <w:t xml:space="preserve"> S Shares, Performance Fee will be calculated in the same manner as described above save with a Performance Fee rate of 15%, instead of 20%.</w:t>
      </w:r>
    </w:p>
    <w:p w14:paraId="76B987F3" w14:textId="77777777" w:rsidR="00D02759" w:rsidRDefault="00D02759" w:rsidP="00DA0595">
      <w:pPr>
        <w:pStyle w:val="BodyText"/>
      </w:pPr>
    </w:p>
    <w:p w14:paraId="46A16033" w14:textId="77777777" w:rsidR="00D02759" w:rsidRDefault="00D02759" w:rsidP="00DA0595">
      <w:pPr>
        <w:pStyle w:val="BodyText"/>
        <w:widowControl/>
      </w:pPr>
      <w:r>
        <w:t xml:space="preserve">No Performance Fee is payable in respect of Class F </w:t>
      </w:r>
      <w:r w:rsidR="008E27C2">
        <w:t xml:space="preserve">or R </w:t>
      </w:r>
      <w:r>
        <w:t>Shares.</w:t>
      </w:r>
    </w:p>
    <w:p w14:paraId="37F46629" w14:textId="77777777" w:rsidR="00D02759" w:rsidRDefault="00D02759" w:rsidP="00DA0595">
      <w:pPr>
        <w:pStyle w:val="BodyText"/>
        <w:widowControl/>
      </w:pPr>
    </w:p>
    <w:p w14:paraId="3600005F" w14:textId="77777777" w:rsidR="00D02759" w:rsidRPr="00BF1B19" w:rsidRDefault="00D02759" w:rsidP="00DA0595">
      <w:pPr>
        <w:pStyle w:val="BodyText"/>
        <w:keepNext/>
        <w:widowControl/>
        <w:rPr>
          <w:i/>
          <w:iCs/>
        </w:rPr>
      </w:pPr>
      <w:r>
        <w:rPr>
          <w:i/>
          <w:iCs/>
        </w:rPr>
        <w:t>General</w:t>
      </w:r>
    </w:p>
    <w:p w14:paraId="230C65A5" w14:textId="391B0F4F" w:rsidR="00241DC0" w:rsidRPr="005116AD" w:rsidRDefault="00241DC0" w:rsidP="005116AD">
      <w:pPr>
        <w:pStyle w:val="BodyText"/>
        <w:keepNext/>
        <w:rPr>
          <w:sz w:val="19"/>
        </w:rPr>
      </w:pPr>
    </w:p>
    <w:p w14:paraId="2DA43B0B" w14:textId="2A047B7E" w:rsidR="00241DC0" w:rsidRPr="005116AD" w:rsidRDefault="00241DC0" w:rsidP="00D06B6E">
      <w:pPr>
        <w:pStyle w:val="BodyText"/>
        <w:widowControl/>
      </w:pPr>
      <w:r w:rsidRPr="005116AD">
        <w:t>If Shares are redeemed during a Performance Period, the Performance Fee in respect of such Shares will be calculated as though the relevant Dealing Day was the end of a Performance Period</w:t>
      </w:r>
      <w:r w:rsidR="00D02759">
        <w:t xml:space="preserve"> and crystallises on such Dealing Day.</w:t>
      </w:r>
      <w:r w:rsidRPr="005116AD">
        <w:t xml:space="preserve"> An amount equal to any Performance Fee in respect of such Shares will be </w:t>
      </w:r>
      <w:r w:rsidR="00D02759">
        <w:t>credited</w:t>
      </w:r>
      <w:r w:rsidRPr="005116AD">
        <w:t xml:space="preserve"> to the Investment Manager as soon as reasonably practicable after the relevant Dealing Day. In the event of a partial redemption, Shares will be treated as redeemed on a first in, first out basis for the purpose of calculating the Performance Fee.</w:t>
      </w:r>
      <w:r w:rsidR="00D02759">
        <w:t xml:space="preserve"> </w:t>
      </w:r>
    </w:p>
    <w:p w14:paraId="1079CF25" w14:textId="77777777" w:rsidR="00241DC0" w:rsidRPr="005116AD" w:rsidRDefault="00241DC0" w:rsidP="005116AD">
      <w:pPr>
        <w:pStyle w:val="BodyText"/>
      </w:pPr>
    </w:p>
    <w:p w14:paraId="3404DFEC" w14:textId="79320C50" w:rsidR="00D02759" w:rsidRDefault="00D02759" w:rsidP="00FD55E2">
      <w:pPr>
        <w:pStyle w:val="BodyText"/>
        <w:widowControl/>
      </w:pPr>
      <w:r>
        <w:t xml:space="preserve">In relation to subscriptions made intra-year, </w:t>
      </w:r>
      <w:r w:rsidRPr="005116AD">
        <w:t xml:space="preserve">the </w:t>
      </w:r>
      <w:r>
        <w:t xml:space="preserve">Performance Period will begin from the Valuation Point at which the subscription is made until 31 December </w:t>
      </w:r>
      <w:r w:rsidR="00241DC0" w:rsidRPr="005116AD">
        <w:t xml:space="preserve">of the relevant </w:t>
      </w:r>
      <w:r>
        <w:t>year.</w:t>
      </w:r>
    </w:p>
    <w:p w14:paraId="3A0F1F60" w14:textId="77777777" w:rsidR="001C1355" w:rsidRDefault="001C1355" w:rsidP="00FB2FDF">
      <w:pPr>
        <w:pStyle w:val="BodyText"/>
        <w:widowControl/>
      </w:pPr>
    </w:p>
    <w:p w14:paraId="2DA07D1D" w14:textId="4DDFBD5F" w:rsidR="00A2372B" w:rsidRDefault="00B340D9" w:rsidP="00FD55E2">
      <w:pPr>
        <w:pStyle w:val="BodyText"/>
        <w:widowControl/>
      </w:pPr>
      <w:r>
        <w:t xml:space="preserve">Investors to note that Performance Fee is calculated on a per </w:t>
      </w:r>
      <w:r w:rsidR="00241DC0" w:rsidRPr="006A484E">
        <w:t xml:space="preserve">Class </w:t>
      </w:r>
      <w:r>
        <w:t>basis, rather</w:t>
      </w:r>
      <w:r w:rsidR="00241DC0" w:rsidRPr="006A484E">
        <w:t xml:space="preserve"> than </w:t>
      </w:r>
      <w:r>
        <w:t xml:space="preserve">on a per Share basis, meaning that the Fund will not take into account the individual Issue Price at which Shares are issued to subscribers who subscribe intra-year when calculating Performance Fee payable for a particular Performance Period. Instead the intra-year capital subscription is included in the calculation of </w:t>
      </w:r>
      <w:r w:rsidR="00241DC0" w:rsidRPr="005116AD">
        <w:t xml:space="preserve">the Peak Net Asset Value per </w:t>
      </w:r>
      <w:r w:rsidR="00241DC0" w:rsidRPr="006A484E">
        <w:t>Class</w:t>
      </w:r>
      <w:r>
        <w:t>. This may result in an over- or under-payment of Performance Fee by those subscribers depending on whether the relevant Issue Price is above or below the applicable Peak Net Asset Value per Class of the relevant Class</w:t>
      </w:r>
      <w:r w:rsidR="001C1355">
        <w:t xml:space="preserve">. </w:t>
      </w:r>
    </w:p>
    <w:p w14:paraId="00EC87BF" w14:textId="77777777" w:rsidR="00A2372B" w:rsidRDefault="00A2372B" w:rsidP="00FD55E2">
      <w:pPr>
        <w:pStyle w:val="BodyText"/>
        <w:widowControl/>
      </w:pPr>
    </w:p>
    <w:p w14:paraId="2C0C701F" w14:textId="1B70BAB5" w:rsidR="00241DC0" w:rsidRPr="005116AD" w:rsidRDefault="001C1355" w:rsidP="00D06B6E">
      <w:pPr>
        <w:pStyle w:val="BodyText"/>
        <w:widowControl/>
      </w:pPr>
      <w:r>
        <w:t xml:space="preserve">For example, if the Issue Price at which Shares are issued to an intra-year subscriber is below </w:t>
      </w:r>
      <w:r w:rsidRPr="001540E5">
        <w:t xml:space="preserve">the Peak Net Asset Value per </w:t>
      </w:r>
      <w:r>
        <w:t xml:space="preserve">Class, such </w:t>
      </w:r>
      <w:r w:rsidR="00241DC0" w:rsidRPr="005116AD">
        <w:t xml:space="preserve">subscriber </w:t>
      </w:r>
      <w:r>
        <w:t xml:space="preserve">will be underpaying Performance Fee in the first Performance Period as the Performance Fee calculation for that particular Performance Period would not have taken into account the appreciation between the Issue Price and the Peak Net Asset Value per Class. Conversely, if the Issue Price at which Shares are issued to an intra-year subscriber is above the Peak Net Asset Value per Class, such subscriber will be overpaying Performance Fee in the first Performance Period as the Performance Fee will be calculated based on the full appreciation from the Peak Net Asset Value per Class, rather than from the subscriber’s lower Issue Price. </w:t>
      </w:r>
    </w:p>
    <w:p w14:paraId="74361925" w14:textId="77777777" w:rsidR="00241DC0" w:rsidRPr="005116AD" w:rsidRDefault="00241DC0" w:rsidP="00D06B6E">
      <w:pPr>
        <w:pStyle w:val="BodyText"/>
        <w:widowControl/>
      </w:pPr>
    </w:p>
    <w:p w14:paraId="4B2C9589" w14:textId="0C131C84" w:rsidR="001C1355" w:rsidRPr="00BF1B19" w:rsidRDefault="001C1355" w:rsidP="00FD55E2">
      <w:pPr>
        <w:pStyle w:val="BodyText"/>
        <w:widowControl/>
      </w:pPr>
      <w:r w:rsidRPr="00CF49C9">
        <w:rPr>
          <w:b/>
          <w:bCs/>
        </w:rPr>
        <w:lastRenderedPageBreak/>
        <w:t>Investors should be aware of this risk when making subscriptions intra-year, as it may lead to a Performance Fee calculation that does not accurately reflect the performance of their individual investment</w:t>
      </w:r>
      <w:r>
        <w:rPr>
          <w:b/>
          <w:bCs/>
        </w:rPr>
        <w:t>.</w:t>
      </w:r>
    </w:p>
    <w:p w14:paraId="08717E44" w14:textId="77777777" w:rsidR="00D02759" w:rsidRPr="00BF1B19" w:rsidRDefault="00D02759" w:rsidP="00D02759">
      <w:pPr>
        <w:pStyle w:val="BodyText"/>
        <w:ind w:left="720" w:right="125"/>
      </w:pPr>
    </w:p>
    <w:p w14:paraId="0505B3D9" w14:textId="77777777" w:rsidR="00D02759" w:rsidRPr="00BF1B19" w:rsidRDefault="00D02759" w:rsidP="00FD55E2">
      <w:pPr>
        <w:pStyle w:val="BodyText"/>
        <w:widowControl/>
      </w:pPr>
      <w:r>
        <w:t>The calculation of the Performance Fee is verified by the Depositary and is not open to the possibility of manipulation.</w:t>
      </w:r>
    </w:p>
    <w:p w14:paraId="46D147B3" w14:textId="77777777" w:rsidR="00D02759" w:rsidRPr="00BF1B19" w:rsidRDefault="00D02759" w:rsidP="00DA0595">
      <w:pPr>
        <w:pStyle w:val="BodyText"/>
        <w:rPr>
          <w:sz w:val="19"/>
        </w:rPr>
      </w:pPr>
    </w:p>
    <w:p w14:paraId="753FEC4E" w14:textId="25F2D5FA" w:rsidR="00241DC0" w:rsidRPr="005116AD" w:rsidRDefault="00241DC0" w:rsidP="00D06B6E">
      <w:pPr>
        <w:pStyle w:val="BodyText"/>
        <w:widowControl/>
      </w:pPr>
      <w:r w:rsidRPr="005116AD">
        <w:t xml:space="preserve">Shareholders should note that the Investment Manager may be paid a Performance Fee which will be based on </w:t>
      </w:r>
      <w:r w:rsidR="00D02759">
        <w:t xml:space="preserve">net </w:t>
      </w:r>
      <w:r w:rsidRPr="005116AD">
        <w:t xml:space="preserve">realised and </w:t>
      </w:r>
      <w:r w:rsidR="00D02759">
        <w:t xml:space="preserve">net </w:t>
      </w:r>
      <w:r w:rsidRPr="005116AD">
        <w:t>unrealised gains</w:t>
      </w:r>
      <w:r w:rsidR="00D02759">
        <w:t xml:space="preserve"> and losses as at the end of each Performance Period</w:t>
      </w:r>
      <w:r w:rsidRPr="005116AD">
        <w:t xml:space="preserve">. Therefore, it is an inherent risk in the Fund that Performance Fee may be paid on unrealised gains which may </w:t>
      </w:r>
      <w:r w:rsidR="00D02759">
        <w:t xml:space="preserve">subsequently </w:t>
      </w:r>
      <w:r w:rsidRPr="005116AD">
        <w:t>never be realised by the Fund.</w:t>
      </w:r>
    </w:p>
    <w:p w14:paraId="30596F76" w14:textId="77777777" w:rsidR="00241DC0" w:rsidRPr="009C679F" w:rsidRDefault="00241DC0" w:rsidP="00D06B6E">
      <w:pPr>
        <w:pStyle w:val="BodyText"/>
        <w:widowControl/>
        <w:rPr>
          <w:lang w:val="en-GB"/>
        </w:rPr>
      </w:pPr>
    </w:p>
    <w:p w14:paraId="7215D6E8" w14:textId="77777777" w:rsidR="00241DC0" w:rsidRPr="009C679F" w:rsidRDefault="00241DC0" w:rsidP="00D06B6E">
      <w:pPr>
        <w:pStyle w:val="Heading1"/>
        <w:widowControl/>
      </w:pPr>
      <w:bookmarkStart w:id="64" w:name="_Toc173750996"/>
      <w:r w:rsidRPr="009C679F">
        <w:t>Depositary Fee</w:t>
      </w:r>
      <w:bookmarkEnd w:id="64"/>
    </w:p>
    <w:p w14:paraId="4AE288B4" w14:textId="77777777" w:rsidR="00241DC0" w:rsidRPr="009C679F" w:rsidRDefault="00241DC0" w:rsidP="00D06B6E">
      <w:pPr>
        <w:pStyle w:val="Heading1"/>
        <w:widowControl/>
      </w:pPr>
    </w:p>
    <w:p w14:paraId="3B1BA496" w14:textId="2E85EFFA" w:rsidR="00241DC0" w:rsidRPr="009C679F" w:rsidRDefault="00241DC0" w:rsidP="00D06B6E">
      <w:pPr>
        <w:pStyle w:val="BodyText"/>
        <w:widowControl/>
        <w:rPr>
          <w:lang w:val="en-GB"/>
        </w:rPr>
      </w:pPr>
      <w:r w:rsidRPr="009C679F">
        <w:rPr>
          <w:lang w:val="en-GB"/>
        </w:rPr>
        <w:t>The Fund shall discharge the Depositary’s fees and expenses (including any reasonable out of pocket expenses incurred on behalf of the Fund). The Depositary’s fee shall not exceed 0.04% of the Net Asset Value of the Fund which shall be calculated and accrued as of each Valuation Point and shall be payable monthly in arrear subject to a minimum annual fee of EUR 24,000.</w:t>
      </w:r>
    </w:p>
    <w:p w14:paraId="29F7E976" w14:textId="77777777" w:rsidR="00241DC0" w:rsidRPr="009C679F" w:rsidRDefault="00241DC0" w:rsidP="00D06B6E">
      <w:pPr>
        <w:pStyle w:val="BodyText"/>
        <w:widowControl/>
        <w:rPr>
          <w:lang w:val="en-GB"/>
        </w:rPr>
      </w:pPr>
    </w:p>
    <w:p w14:paraId="1CAFEF21" w14:textId="6354095C" w:rsidR="00241DC0" w:rsidRPr="009C679F" w:rsidRDefault="00241DC0" w:rsidP="00D06B6E">
      <w:pPr>
        <w:pStyle w:val="BodyText"/>
        <w:widowControl/>
        <w:rPr>
          <w:lang w:val="en-GB"/>
        </w:rPr>
      </w:pPr>
      <w:r w:rsidRPr="009C679F">
        <w:rPr>
          <w:lang w:val="en-GB"/>
        </w:rPr>
        <w:t>The Fund shall pay certain additional fees to the Depositary for the settlement of transactions, for cash transfers and forex, for manual transactions and trade repairs, at normal commercial rates.</w:t>
      </w:r>
    </w:p>
    <w:p w14:paraId="24757565" w14:textId="77777777" w:rsidR="00241DC0" w:rsidRPr="009C679F" w:rsidRDefault="00241DC0" w:rsidP="00D06B6E">
      <w:pPr>
        <w:pStyle w:val="BodyText"/>
        <w:widowControl/>
        <w:rPr>
          <w:lang w:val="en-GB"/>
        </w:rPr>
      </w:pPr>
    </w:p>
    <w:p w14:paraId="49256434" w14:textId="77777777" w:rsidR="00241DC0" w:rsidRPr="009C679F" w:rsidRDefault="00241DC0" w:rsidP="00D06B6E">
      <w:pPr>
        <w:pStyle w:val="Heading1"/>
        <w:widowControl/>
      </w:pPr>
      <w:bookmarkStart w:id="65" w:name="_Toc173750997"/>
      <w:r w:rsidRPr="009C679F">
        <w:t>Administrator’s Fee</w:t>
      </w:r>
      <w:bookmarkEnd w:id="65"/>
    </w:p>
    <w:p w14:paraId="3A8207CA" w14:textId="77777777" w:rsidR="00241DC0" w:rsidRPr="009C679F" w:rsidRDefault="00241DC0" w:rsidP="00D06B6E">
      <w:pPr>
        <w:pStyle w:val="Heading1"/>
        <w:widowControl/>
      </w:pPr>
    </w:p>
    <w:p w14:paraId="2971B59D" w14:textId="524B9252" w:rsidR="00241DC0" w:rsidRPr="009C679F" w:rsidRDefault="00241DC0" w:rsidP="00D06B6E">
      <w:pPr>
        <w:pStyle w:val="BodyText"/>
        <w:widowControl/>
        <w:rPr>
          <w:lang w:val="en-GB"/>
        </w:rPr>
      </w:pPr>
      <w:bookmarkStart w:id="66" w:name="_Hlk175578544"/>
      <w:r w:rsidRPr="009C679F">
        <w:rPr>
          <w:lang w:val="en-GB"/>
        </w:rPr>
        <w:t>The Fund shall</w:t>
      </w:r>
      <w:r w:rsidR="004C414A">
        <w:rPr>
          <w:lang w:val="en-GB"/>
        </w:rPr>
        <w:t>, out of the assets of the Fund,</w:t>
      </w:r>
      <w:r w:rsidRPr="009C679F">
        <w:rPr>
          <w:lang w:val="en-GB"/>
        </w:rPr>
        <w:t xml:space="preserve"> discharge the Administrator’s fees and expenses (including any reasonable </w:t>
      </w:r>
      <w:r w:rsidR="004C414A">
        <w:rPr>
          <w:lang w:val="en-GB"/>
        </w:rPr>
        <w:t xml:space="preserve">and vouched </w:t>
      </w:r>
      <w:r w:rsidRPr="009C679F">
        <w:rPr>
          <w:lang w:val="en-GB"/>
        </w:rPr>
        <w:t xml:space="preserve">out of pocket expenses </w:t>
      </w:r>
      <w:bookmarkEnd w:id="66"/>
      <w:r w:rsidRPr="009C679F">
        <w:rPr>
          <w:lang w:val="en-GB"/>
        </w:rPr>
        <w:t>incurred on behalf of the Fund). The Administrator’s fee shall not exceed 0.</w:t>
      </w:r>
      <w:r w:rsidR="00183835">
        <w:rPr>
          <w:lang w:val="en-GB"/>
        </w:rPr>
        <w:t>04</w:t>
      </w:r>
      <w:r w:rsidRPr="009C679F">
        <w:rPr>
          <w:lang w:val="en-GB"/>
        </w:rPr>
        <w:t>% of the Net Asset Value of the Fund which shall be calculated and accrued as of each Valuation Point and shall be payable monthly in arrear</w:t>
      </w:r>
      <w:r w:rsidR="00541DA5" w:rsidRPr="009C679F">
        <w:rPr>
          <w:lang w:val="en-GB"/>
        </w:rPr>
        <w:t>s</w:t>
      </w:r>
      <w:r w:rsidRPr="009C679F">
        <w:rPr>
          <w:lang w:val="en-GB"/>
        </w:rPr>
        <w:t xml:space="preserve"> subject to a minimum annual fee of </w:t>
      </w:r>
      <w:r w:rsidR="00183835" w:rsidRPr="009C679F">
        <w:rPr>
          <w:lang w:val="en-GB"/>
        </w:rPr>
        <w:t>USD3</w:t>
      </w:r>
      <w:r w:rsidR="00183835">
        <w:rPr>
          <w:lang w:val="en-GB"/>
        </w:rPr>
        <w:t>0</w:t>
      </w:r>
      <w:r w:rsidR="00541DA5" w:rsidRPr="009C679F">
        <w:rPr>
          <w:lang w:val="en-GB"/>
        </w:rPr>
        <w:t>,000</w:t>
      </w:r>
      <w:r w:rsidRPr="009C679F">
        <w:rPr>
          <w:lang w:val="en-GB"/>
        </w:rPr>
        <w:t>.</w:t>
      </w:r>
      <w:r w:rsidR="00541DA5" w:rsidRPr="009C679F">
        <w:rPr>
          <w:lang w:val="en-GB"/>
        </w:rPr>
        <w:t xml:space="preserve"> </w:t>
      </w:r>
      <w:r w:rsidR="00AA4E04">
        <w:rPr>
          <w:lang w:val="en-GB"/>
        </w:rPr>
        <w:t xml:space="preserve"> </w:t>
      </w:r>
    </w:p>
    <w:p w14:paraId="0A510ABA" w14:textId="77777777" w:rsidR="00241DC0" w:rsidRPr="009C679F" w:rsidRDefault="00241DC0" w:rsidP="00D06B6E">
      <w:pPr>
        <w:pStyle w:val="BodyText"/>
        <w:widowControl/>
        <w:rPr>
          <w:lang w:val="en-GB"/>
        </w:rPr>
      </w:pPr>
    </w:p>
    <w:p w14:paraId="60ACB588" w14:textId="5D3C465D" w:rsidR="00241DC0" w:rsidRPr="009C679F" w:rsidRDefault="002521A0" w:rsidP="00D06B6E">
      <w:pPr>
        <w:pStyle w:val="BodyText"/>
        <w:widowControl/>
        <w:rPr>
          <w:lang w:val="en-GB"/>
        </w:rPr>
      </w:pPr>
      <w:bookmarkStart w:id="67" w:name="_Hlk174974729"/>
      <w:r>
        <w:t>If required, the</w:t>
      </w:r>
      <w:r w:rsidRPr="00AD6750">
        <w:t xml:space="preserve"> Fund shall pay certain additional fees to the Administrator for additional </w:t>
      </w:r>
      <w:r>
        <w:t xml:space="preserve">services such as account opening fee, account reject fee, account maintenance fee, transaction fee, fee for additional </w:t>
      </w:r>
      <w:r w:rsidRPr="00AD6750">
        <w:t xml:space="preserve">Classes of Shares, </w:t>
      </w:r>
      <w:r>
        <w:t>fee</w:t>
      </w:r>
      <w:r w:rsidRPr="00AD6750">
        <w:t xml:space="preserve"> for </w:t>
      </w:r>
      <w:r>
        <w:t>dividend payment and fee</w:t>
      </w:r>
      <w:r w:rsidRPr="00AD6750">
        <w:t xml:space="preserve"> for </w:t>
      </w:r>
      <w:r>
        <w:t>termination, merger or transfer of assets of the Fund</w:t>
      </w:r>
      <w:r w:rsidRPr="00AD6750">
        <w:t xml:space="preserve"> to </w:t>
      </w:r>
      <w:r>
        <w:t xml:space="preserve">a new administrator and/or custodian and FATCA &amp; CRS </w:t>
      </w:r>
      <w:r w:rsidRPr="00AD6750">
        <w:t xml:space="preserve">reporting </w:t>
      </w:r>
      <w:r>
        <w:t>fee</w:t>
      </w:r>
      <w:r w:rsidR="00AA4E04">
        <w:rPr>
          <w:lang w:val="en-GB"/>
        </w:rPr>
        <w:t xml:space="preserve">. </w:t>
      </w:r>
      <w:bookmarkEnd w:id="67"/>
    </w:p>
    <w:p w14:paraId="1E5D1286" w14:textId="77777777" w:rsidR="002B2674" w:rsidRPr="009C679F" w:rsidRDefault="002B2674" w:rsidP="00D06B6E">
      <w:pPr>
        <w:pStyle w:val="BodyText"/>
        <w:widowControl/>
        <w:rPr>
          <w:lang w:val="en-GB"/>
        </w:rPr>
      </w:pPr>
    </w:p>
    <w:p w14:paraId="5CBD1652" w14:textId="77777777" w:rsidR="00241DC0" w:rsidRPr="009C679F" w:rsidRDefault="00241DC0" w:rsidP="00D06B6E">
      <w:pPr>
        <w:pStyle w:val="Heading1"/>
        <w:widowControl/>
      </w:pPr>
      <w:bookmarkStart w:id="68" w:name="_Toc173750998"/>
      <w:r w:rsidRPr="009C679F">
        <w:t>Costs of Establishment of the ICAV and the Fund</w:t>
      </w:r>
      <w:bookmarkEnd w:id="68"/>
    </w:p>
    <w:p w14:paraId="5D0E218D" w14:textId="77777777" w:rsidR="00241DC0" w:rsidRPr="009C679F" w:rsidRDefault="00241DC0" w:rsidP="00D06B6E">
      <w:pPr>
        <w:pStyle w:val="Heading1"/>
        <w:widowControl/>
      </w:pPr>
    </w:p>
    <w:p w14:paraId="022A0F4B" w14:textId="77777777" w:rsidR="00241DC0" w:rsidRPr="009C679F" w:rsidRDefault="00241DC0" w:rsidP="00D06B6E">
      <w:pPr>
        <w:pStyle w:val="BodyText"/>
        <w:widowControl/>
        <w:rPr>
          <w:lang w:val="en-GB"/>
        </w:rPr>
      </w:pPr>
      <w:r w:rsidRPr="009C679F">
        <w:rPr>
          <w:lang w:val="en-GB"/>
        </w:rPr>
        <w:t>The preliminary expenses incurred in connection with the establishment of the ICAV, including obtaining authorisation from any authority, where applicable, filing fees, the preparation and printing of this Prospectus, marketing costs and the fees of all professionals relating to it will be borne by the Investment Manager and are estimated not to exceed the sum stated in the Prospectus.</w:t>
      </w:r>
    </w:p>
    <w:p w14:paraId="22996765" w14:textId="77777777" w:rsidR="00241DC0" w:rsidRPr="009C679F" w:rsidRDefault="00241DC0" w:rsidP="00D06B6E">
      <w:pPr>
        <w:pStyle w:val="BodyText"/>
        <w:widowControl/>
        <w:rPr>
          <w:lang w:val="en-GB"/>
        </w:rPr>
      </w:pPr>
    </w:p>
    <w:p w14:paraId="72205B8B" w14:textId="77777777" w:rsidR="00241DC0" w:rsidRPr="009C679F" w:rsidRDefault="00241DC0" w:rsidP="00D06B6E">
      <w:pPr>
        <w:pStyle w:val="BodyText"/>
        <w:widowControl/>
        <w:rPr>
          <w:lang w:val="en-GB"/>
        </w:rPr>
      </w:pPr>
      <w:r w:rsidRPr="009C679F">
        <w:rPr>
          <w:lang w:val="en-GB"/>
        </w:rPr>
        <w:t>The cost of establishing the Fund and the initial issue of the Shares of the Fund will be paid out of the assets of the Fund and will be amortised over a five year period from Fund launch. The preliminary expenses incurred in connection with the establishment of the Fund are estimated not to exceed EUR 30,000.</w:t>
      </w:r>
    </w:p>
    <w:p w14:paraId="5E64C9C6" w14:textId="77777777" w:rsidR="00241DC0" w:rsidRPr="009C679F" w:rsidRDefault="00241DC0" w:rsidP="00D06B6E">
      <w:pPr>
        <w:pStyle w:val="BodyText"/>
        <w:widowControl/>
        <w:rPr>
          <w:lang w:val="en-GB"/>
        </w:rPr>
      </w:pPr>
    </w:p>
    <w:p w14:paraId="5B9D8885" w14:textId="5CBA0161" w:rsidR="00241DC0" w:rsidRPr="009C679F" w:rsidRDefault="00241DC0" w:rsidP="00D06B6E">
      <w:pPr>
        <w:pStyle w:val="Heading1"/>
        <w:widowControl/>
      </w:pPr>
      <w:bookmarkStart w:id="69" w:name="_Toc173750999"/>
      <w:r w:rsidRPr="009C679F">
        <w:t>Fees in Underlying Collective Investment Scheme (“CIS”)</w:t>
      </w:r>
      <w:bookmarkEnd w:id="69"/>
    </w:p>
    <w:p w14:paraId="458B3D1E" w14:textId="77777777" w:rsidR="00241DC0" w:rsidRPr="009C679F" w:rsidRDefault="00241DC0" w:rsidP="00D06B6E">
      <w:pPr>
        <w:pStyle w:val="Heading1"/>
        <w:widowControl/>
      </w:pPr>
    </w:p>
    <w:p w14:paraId="09B489D5" w14:textId="77777777" w:rsidR="00241DC0" w:rsidRPr="009C679F" w:rsidRDefault="00241DC0" w:rsidP="00D06B6E">
      <w:pPr>
        <w:pStyle w:val="BodyText"/>
        <w:widowControl/>
        <w:rPr>
          <w:lang w:val="en-GB"/>
        </w:rPr>
      </w:pPr>
      <w:r w:rsidRPr="009C679F">
        <w:rPr>
          <w:lang w:val="en-GB"/>
        </w:rPr>
        <w:t>The Fund may, subject to the conditions set out in section 4 “INVESTMENT RESTRICTIONS” of this Supplement, invest in other CIS. As an investor in such other CIS, in addition to the fees, costs and expenses payable by a Shareholder in the Funds, each Shareholder may also indirectly bear a portion of the fees, costs and expenses of the underlying CIS, including management, investment management and, administration and other expenses. The maximum level of management fees that may be charged in relation to that portion of the Fund assets invested in other CIS should not exceed 0.1% of the CIS’s Net Asset Value if it is up to 100 million Euros and should not exceed 0.05% of the CIS’s Net Asset Value if it is greater than 100 million Euros.</w:t>
      </w:r>
    </w:p>
    <w:p w14:paraId="6E18735D" w14:textId="77777777" w:rsidR="00241DC0" w:rsidRPr="009C679F" w:rsidRDefault="00241DC0" w:rsidP="00D06B6E">
      <w:pPr>
        <w:pStyle w:val="BodyText"/>
        <w:widowControl/>
        <w:rPr>
          <w:lang w:val="en-GB"/>
        </w:rPr>
      </w:pPr>
    </w:p>
    <w:p w14:paraId="52FFE035" w14:textId="77777777" w:rsidR="001B0C14" w:rsidRPr="009C679F" w:rsidRDefault="001B0C14" w:rsidP="00D06B6E">
      <w:pPr>
        <w:pStyle w:val="ListParagraph"/>
        <w:widowControl/>
        <w:rPr>
          <w:lang w:val="en-GB"/>
        </w:rPr>
      </w:pPr>
      <w:bookmarkStart w:id="70" w:name="_Toc98334833"/>
      <w:bookmarkStart w:id="71" w:name="_Toc172121760"/>
      <w:r w:rsidRPr="009C679F">
        <w:rPr>
          <w:lang w:val="en-GB"/>
        </w:rPr>
        <w:t>MISCELLANEOUS</w:t>
      </w:r>
      <w:bookmarkEnd w:id="70"/>
      <w:bookmarkEnd w:id="71"/>
    </w:p>
    <w:p w14:paraId="463C419A" w14:textId="77777777" w:rsidR="002B2674" w:rsidRPr="009C679F" w:rsidRDefault="001B0C14" w:rsidP="00D06B6E">
      <w:pPr>
        <w:pStyle w:val="BodyText"/>
        <w:widowControl/>
        <w:rPr>
          <w:lang w:val="en-GB"/>
        </w:rPr>
      </w:pPr>
      <w:r w:rsidRPr="009C679F">
        <w:rPr>
          <w:lang w:val="en-GB"/>
        </w:rPr>
        <w:t xml:space="preserve">Nanjia Capital ICAV has the following sub-funds: </w:t>
      </w:r>
    </w:p>
    <w:p w14:paraId="7F0036C9" w14:textId="77777777" w:rsidR="002B2674" w:rsidRPr="009C679F" w:rsidRDefault="002B2674" w:rsidP="00D06B6E">
      <w:pPr>
        <w:pStyle w:val="BodyText"/>
        <w:widowControl/>
        <w:rPr>
          <w:lang w:val="en-GB"/>
        </w:rPr>
      </w:pPr>
    </w:p>
    <w:p w14:paraId="3EAA043F" w14:textId="77777777" w:rsidR="002B2674" w:rsidRPr="009C679F" w:rsidRDefault="002B2674" w:rsidP="00D06B6E">
      <w:pPr>
        <w:pStyle w:val="BodyText"/>
        <w:widowControl/>
        <w:ind w:left="1134" w:hanging="567"/>
        <w:rPr>
          <w:lang w:val="en-GB"/>
        </w:rPr>
      </w:pPr>
      <w:bookmarkStart w:id="72" w:name="_bookmark13"/>
      <w:bookmarkEnd w:id="72"/>
      <w:r w:rsidRPr="009C679F">
        <w:rPr>
          <w:lang w:val="en-GB"/>
        </w:rPr>
        <w:t>•</w:t>
      </w:r>
      <w:r w:rsidRPr="009C679F">
        <w:rPr>
          <w:lang w:val="en-GB"/>
        </w:rPr>
        <w:tab/>
        <w:t xml:space="preserve">XSE </w:t>
      </w:r>
    </w:p>
    <w:p w14:paraId="1B71C9BE" w14:textId="77777777" w:rsidR="002B2674" w:rsidRPr="009C679F" w:rsidRDefault="002B2674" w:rsidP="00D06B6E">
      <w:pPr>
        <w:pStyle w:val="BodyText"/>
        <w:widowControl/>
        <w:ind w:left="1134" w:hanging="567"/>
        <w:rPr>
          <w:lang w:val="en-GB"/>
        </w:rPr>
      </w:pPr>
      <w:r w:rsidRPr="009C679F">
        <w:rPr>
          <w:lang w:val="en-GB"/>
        </w:rPr>
        <w:t>•</w:t>
      </w:r>
      <w:r w:rsidRPr="009C679F">
        <w:rPr>
          <w:lang w:val="en-GB"/>
        </w:rPr>
        <w:tab/>
        <w:t>Civetta Nanjia Fund</w:t>
      </w:r>
    </w:p>
    <w:p w14:paraId="569D2015" w14:textId="7007927D" w:rsidR="0064314B" w:rsidRPr="009C679F" w:rsidRDefault="002B2674" w:rsidP="00D06B6E">
      <w:pPr>
        <w:pStyle w:val="BodyText"/>
        <w:widowControl/>
        <w:ind w:left="1134" w:hanging="567"/>
        <w:rPr>
          <w:lang w:val="en-GB"/>
        </w:rPr>
      </w:pPr>
      <w:r w:rsidRPr="009C679F">
        <w:rPr>
          <w:lang w:val="en-GB"/>
        </w:rPr>
        <w:t>•</w:t>
      </w:r>
      <w:r w:rsidRPr="009C679F">
        <w:rPr>
          <w:lang w:val="en-GB"/>
        </w:rPr>
        <w:tab/>
        <w:t>Cyrus</w:t>
      </w:r>
    </w:p>
    <w:sectPr w:rsidR="0064314B" w:rsidRPr="009C679F" w:rsidSect="00F505F2">
      <w:headerReference w:type="even" r:id="rId20"/>
      <w:headerReference w:type="default" r:id="rId21"/>
      <w:footerReference w:type="default" r:id="rId22"/>
      <w:headerReference w:type="first" r:id="rId23"/>
      <w:pgSz w:w="11910" w:h="16840"/>
      <w:pgMar w:top="1134" w:right="1134" w:bottom="1134" w:left="1134" w:header="0" w:footer="599"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F8EC2" w14:textId="77777777" w:rsidR="00CE170C" w:rsidRDefault="00CE170C" w:rsidP="000F6218">
      <w:r>
        <w:separator/>
      </w:r>
    </w:p>
  </w:endnote>
  <w:endnote w:type="continuationSeparator" w:id="0">
    <w:p w14:paraId="00322F0C" w14:textId="77777777" w:rsidR="00CE170C" w:rsidRDefault="00CE170C" w:rsidP="000F6218">
      <w:r>
        <w:continuationSeparator/>
      </w:r>
    </w:p>
  </w:endnote>
  <w:endnote w:type="continuationNotice" w:id="1">
    <w:p w14:paraId="58A4AD19" w14:textId="77777777" w:rsidR="00CE170C" w:rsidRDefault="00CE170C" w:rsidP="000F6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A1741" w14:textId="0B270C1F" w:rsidR="004E61F9" w:rsidRDefault="001540E5" w:rsidP="005116AD">
    <w:pPr>
      <w:pStyle w:val="FooterReference"/>
    </w:pPr>
    <w:fldSimple w:instr=" DOCVARIABLE #DNDocID \* MERGEFORMAT ">
      <w:r w:rsidR="00FD55E2">
        <w:t>84920779.3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8ADFE" w14:textId="77777777" w:rsidR="004136ED" w:rsidRPr="000F6218" w:rsidRDefault="004136ED" w:rsidP="004136ED">
    <w:pPr>
      <w:jc w:val="center"/>
      <w:rPr>
        <w:sz w:val="14"/>
        <w:szCs w:val="14"/>
      </w:rPr>
    </w:pPr>
    <w:r>
      <w:rPr>
        <w:sz w:val="14"/>
        <w:szCs w:val="14"/>
      </w:rPr>
      <w:fldChar w:fldCharType="begin"/>
    </w:r>
    <w:r>
      <w:rPr>
        <w:sz w:val="14"/>
        <w:szCs w:val="14"/>
      </w:rPr>
      <w:instrText xml:space="preserve"> PAGE </w:instrText>
    </w:r>
    <w:r>
      <w:rPr>
        <w:sz w:val="14"/>
        <w:szCs w:val="14"/>
      </w:rPr>
      <w:fldChar w:fldCharType="separate"/>
    </w:r>
    <w:r>
      <w:rPr>
        <w:sz w:val="14"/>
        <w:szCs w:val="14"/>
      </w:rPr>
      <w:t>2</w:t>
    </w:r>
    <w:r>
      <w:rPr>
        <w:sz w:val="14"/>
        <w:szCs w:val="14"/>
      </w:rPr>
      <w:fldChar w:fldCharType="end"/>
    </w:r>
  </w:p>
  <w:p w14:paraId="0C07D3FA" w14:textId="77777777" w:rsidR="004136ED" w:rsidRPr="000F6218" w:rsidRDefault="004136ED" w:rsidP="004136ED">
    <w:pPr>
      <w:rPr>
        <w:sz w:val="14"/>
        <w:szCs w:val="14"/>
      </w:rPr>
    </w:pPr>
  </w:p>
  <w:p w14:paraId="560E32DC" w14:textId="338A412D" w:rsidR="004E61F9" w:rsidRPr="005116AD" w:rsidRDefault="004136ED" w:rsidP="005116AD">
    <w:pPr>
      <w:pStyle w:val="FooterReference1"/>
      <w:jc w:val="right"/>
      <w:rPr>
        <w:sz w:val="12"/>
      </w:rPr>
    </w:pPr>
    <w:r w:rsidRPr="00983DD8">
      <w:rPr>
        <w:rFonts w:ascii="Verdana" w:hAnsi="Verdana"/>
        <w:b w:val="0"/>
        <w:sz w:val="12"/>
        <w:szCs w:val="12"/>
      </w:rPr>
      <w:fldChar w:fldCharType="begin"/>
    </w:r>
    <w:r w:rsidRPr="00983DD8">
      <w:rPr>
        <w:rFonts w:ascii="Verdana" w:hAnsi="Verdana"/>
        <w:b w:val="0"/>
        <w:sz w:val="12"/>
        <w:szCs w:val="12"/>
      </w:rPr>
      <w:instrText xml:space="preserve"> DOCPROPERTY iManageFooter \* MERGEFORMAT </w:instrText>
    </w:r>
    <w:r w:rsidRPr="00983DD8">
      <w:rPr>
        <w:rFonts w:ascii="Verdana" w:hAnsi="Verdana"/>
        <w:b w:val="0"/>
        <w:sz w:val="12"/>
        <w:szCs w:val="12"/>
      </w:rPr>
      <w:fldChar w:fldCharType="separate"/>
    </w:r>
    <w:r w:rsidR="00A30FF9">
      <w:rPr>
        <w:rFonts w:ascii="Verdana" w:hAnsi="Verdana"/>
        <w:b w:val="0"/>
        <w:sz w:val="12"/>
        <w:szCs w:val="12"/>
      </w:rPr>
      <w:t>#630578427v4&lt;HONGKONG&gt; - Supplement - Nanjia - Civetta Nanjia Fund (dated 13 November 2024)</w:t>
    </w:r>
    <w:r w:rsidRPr="00983DD8">
      <w:rPr>
        <w:rFonts w:ascii="Verdana" w:hAnsi="Verdana"/>
        <w:b w:val="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35BB6" w14:textId="6018DD75" w:rsidR="004E61F9" w:rsidRPr="005116AD" w:rsidRDefault="001540E5">
    <w:pPr>
      <w:pStyle w:val="Footer"/>
      <w:rPr>
        <w:sz w:val="14"/>
      </w:rPr>
    </w:pPr>
    <w:r w:rsidRPr="001540E5">
      <w:rPr>
        <w:sz w:val="14"/>
        <w:szCs w:val="14"/>
      </w:rPr>
      <w:fldChar w:fldCharType="begin"/>
    </w:r>
    <w:r w:rsidRPr="001540E5">
      <w:rPr>
        <w:sz w:val="14"/>
        <w:szCs w:val="14"/>
      </w:rPr>
      <w:instrText xml:space="preserve"> DOCPROPERTY iManageFooter \* MERGEFORMAT </w:instrText>
    </w:r>
    <w:r w:rsidRPr="001540E5">
      <w:rPr>
        <w:sz w:val="14"/>
        <w:szCs w:val="14"/>
      </w:rPr>
      <w:fldChar w:fldCharType="separate"/>
    </w:r>
    <w:r w:rsidR="00A30FF9">
      <w:rPr>
        <w:sz w:val="14"/>
        <w:szCs w:val="14"/>
      </w:rPr>
      <w:t>#630578427v4&lt;HONGKONG&gt; - Supplement - Nanjia - Civetta Nanjia Fund (dated 13 November 2024)</w:t>
    </w:r>
    <w:r w:rsidRPr="001540E5">
      <w:rPr>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78DE" w14:textId="3CEB65C0" w:rsidR="002128AF" w:rsidRPr="003B30B6" w:rsidRDefault="001540E5" w:rsidP="005116AD">
    <w:pPr>
      <w:pStyle w:val="FooterReference1"/>
    </w:pPr>
    <w:fldSimple w:instr=" DOCVARIABLE #DNDocID \* MERGEFORMAT ">
      <w:r w:rsidR="00FD55E2">
        <w:t>84920779.3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16E8" w14:textId="2DAB4EDE" w:rsidR="002128AF" w:rsidRPr="005116AD" w:rsidRDefault="002128AF" w:rsidP="005116AD">
    <w:pPr>
      <w:pStyle w:val="FooterReference"/>
      <w:jc w:val="center"/>
      <w:rPr>
        <w:sz w:val="14"/>
      </w:rPr>
    </w:pPr>
    <w:r w:rsidRPr="00DA21B0">
      <w:rPr>
        <w:sz w:val="14"/>
      </w:rPr>
      <w:fldChar w:fldCharType="begin"/>
    </w:r>
    <w:r w:rsidRPr="00DA21B0">
      <w:rPr>
        <w:sz w:val="14"/>
      </w:rPr>
      <w:instrText xml:space="preserve"> PAGE </w:instrText>
    </w:r>
    <w:r w:rsidRPr="00DA21B0">
      <w:rPr>
        <w:sz w:val="14"/>
      </w:rPr>
      <w:fldChar w:fldCharType="separate"/>
    </w:r>
    <w:r w:rsidRPr="00DA21B0">
      <w:rPr>
        <w:sz w:val="14"/>
      </w:rPr>
      <w:t>12</w:t>
    </w:r>
    <w:r w:rsidRPr="00DA21B0">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7822" w14:textId="1FFD6581" w:rsidR="002128AF" w:rsidRPr="003B30B6" w:rsidRDefault="001540E5" w:rsidP="005116AD">
    <w:pPr>
      <w:pStyle w:val="FooterReference1"/>
    </w:pPr>
    <w:fldSimple w:instr=" DOCVARIABLE #DNDocID \* MERGEFORMAT ">
      <w:r w:rsidR="00FD55E2">
        <w:t>84920779.3</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A817D" w14:textId="470DA70E" w:rsidR="00AD6750" w:rsidRDefault="004136ED">
    <w:pPr>
      <w:pStyle w:val="Footer"/>
      <w:jc w:val="center"/>
      <w:rPr>
        <w:sz w:val="16"/>
        <w:szCs w:val="16"/>
      </w:rPr>
    </w:pPr>
    <w:r w:rsidRPr="00DA21B0">
      <w:rPr>
        <w:sz w:val="14"/>
      </w:rPr>
      <w:fldChar w:fldCharType="begin"/>
    </w:r>
    <w:r w:rsidRPr="001540E5">
      <w:rPr>
        <w:bCs/>
        <w:sz w:val="14"/>
        <w:szCs w:val="14"/>
      </w:rPr>
      <w:instrText xml:space="preserve"> PAGE </w:instrText>
    </w:r>
    <w:r w:rsidRPr="00DA21B0">
      <w:rPr>
        <w:sz w:val="14"/>
      </w:rPr>
      <w:fldChar w:fldCharType="separate"/>
    </w:r>
    <w:r w:rsidRPr="001540E5">
      <w:rPr>
        <w:bCs/>
        <w:sz w:val="14"/>
        <w:szCs w:val="14"/>
      </w:rPr>
      <w:t>2</w:t>
    </w:r>
    <w:r w:rsidRPr="00DA21B0">
      <w:rPr>
        <w:sz w:val="14"/>
      </w:rPr>
      <w:fldChar w:fldCharType="end"/>
    </w:r>
  </w:p>
  <w:p w14:paraId="5AAADA92" w14:textId="239DE688" w:rsidR="003B30B6" w:rsidRPr="003B30B6" w:rsidRDefault="003B30B6">
    <w:pPr>
      <w:pStyle w:val="Footer"/>
      <w:jc w:val="center"/>
      <w:rPr>
        <w:sz w:val="16"/>
        <w:szCs w:val="16"/>
      </w:rPr>
    </w:pPr>
  </w:p>
  <w:p w14:paraId="2052B50F" w14:textId="40F5841F" w:rsidR="009B11D0" w:rsidRPr="005116AD" w:rsidRDefault="009B11D0" w:rsidP="005116AD">
    <w:pPr>
      <w:pStyle w:val="FooterReference"/>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7F2A3" w14:textId="77777777" w:rsidR="00CE170C" w:rsidRDefault="00CE170C" w:rsidP="000F6218">
      <w:r>
        <w:separator/>
      </w:r>
    </w:p>
  </w:footnote>
  <w:footnote w:type="continuationSeparator" w:id="0">
    <w:p w14:paraId="20E7ECB2" w14:textId="77777777" w:rsidR="00CE170C" w:rsidRDefault="00CE170C" w:rsidP="000F6218">
      <w:r>
        <w:continuationSeparator/>
      </w:r>
    </w:p>
  </w:footnote>
  <w:footnote w:type="continuationNotice" w:id="1">
    <w:p w14:paraId="75337464" w14:textId="77777777" w:rsidR="00CE170C" w:rsidRDefault="00CE170C" w:rsidP="000F62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A666E" w14:textId="77777777" w:rsidR="00F318CD" w:rsidRDefault="00F31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C5CE5" w14:textId="77777777" w:rsidR="00241EBA" w:rsidRDefault="00241EBA" w:rsidP="005A4FC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1EB8" w14:textId="77777777" w:rsidR="006A484E" w:rsidRPr="005116AD" w:rsidRDefault="006A484E" w:rsidP="005116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5CF7A" w14:textId="77777777" w:rsidR="00A12551" w:rsidRDefault="00A125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BC6F7" w14:textId="77777777" w:rsidR="00241EBA" w:rsidRDefault="00241E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753AC" w14:textId="77777777" w:rsidR="00A12551" w:rsidRDefault="00A125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1FD48" w14:textId="77777777" w:rsidR="009B11D0" w:rsidRDefault="009B11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59B99" w14:textId="77777777" w:rsidR="009B11D0" w:rsidRDefault="009B11D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C34CB" w14:textId="77777777" w:rsidR="009B11D0" w:rsidRDefault="009B1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0282"/>
    <w:multiLevelType w:val="hybridMultilevel"/>
    <w:tmpl w:val="9648D280"/>
    <w:lvl w:ilvl="0" w:tplc="795426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3222A5"/>
    <w:multiLevelType w:val="hybridMultilevel"/>
    <w:tmpl w:val="BE7E7DAE"/>
    <w:lvl w:ilvl="0" w:tplc="11400B5A">
      <w:start w:val="1"/>
      <w:numFmt w:val="lowerLetter"/>
      <w:lvlText w:val="(%1)"/>
      <w:lvlJc w:val="left"/>
      <w:pPr>
        <w:ind w:left="816" w:hanging="353"/>
      </w:pPr>
      <w:rPr>
        <w:rFonts w:ascii="Verdana" w:eastAsia="Verdana" w:hAnsi="Verdana" w:cs="Verdana" w:hint="default"/>
        <w:spacing w:val="-1"/>
        <w:w w:val="100"/>
        <w:sz w:val="18"/>
        <w:szCs w:val="18"/>
        <w:lang w:val="en-US" w:eastAsia="en-US" w:bidi="en-US"/>
      </w:rPr>
    </w:lvl>
    <w:lvl w:ilvl="1" w:tplc="E65E29FC">
      <w:numFmt w:val="bullet"/>
      <w:lvlText w:val="•"/>
      <w:lvlJc w:val="left"/>
      <w:pPr>
        <w:ind w:left="1778" w:hanging="353"/>
      </w:pPr>
      <w:rPr>
        <w:rFonts w:hint="default"/>
        <w:lang w:val="en-US" w:eastAsia="en-US" w:bidi="en-US"/>
      </w:rPr>
    </w:lvl>
    <w:lvl w:ilvl="2" w:tplc="32C872A8">
      <w:numFmt w:val="bullet"/>
      <w:lvlText w:val="•"/>
      <w:lvlJc w:val="left"/>
      <w:pPr>
        <w:ind w:left="2737" w:hanging="353"/>
      </w:pPr>
      <w:rPr>
        <w:rFonts w:hint="default"/>
        <w:lang w:val="en-US" w:eastAsia="en-US" w:bidi="en-US"/>
      </w:rPr>
    </w:lvl>
    <w:lvl w:ilvl="3" w:tplc="097C1FEE">
      <w:numFmt w:val="bullet"/>
      <w:lvlText w:val="•"/>
      <w:lvlJc w:val="left"/>
      <w:pPr>
        <w:ind w:left="3696" w:hanging="353"/>
      </w:pPr>
      <w:rPr>
        <w:rFonts w:hint="default"/>
        <w:lang w:val="en-US" w:eastAsia="en-US" w:bidi="en-US"/>
      </w:rPr>
    </w:lvl>
    <w:lvl w:ilvl="4" w:tplc="58CC2262">
      <w:numFmt w:val="bullet"/>
      <w:lvlText w:val="•"/>
      <w:lvlJc w:val="left"/>
      <w:pPr>
        <w:ind w:left="4655" w:hanging="353"/>
      </w:pPr>
      <w:rPr>
        <w:rFonts w:hint="default"/>
        <w:lang w:val="en-US" w:eastAsia="en-US" w:bidi="en-US"/>
      </w:rPr>
    </w:lvl>
    <w:lvl w:ilvl="5" w:tplc="8A4ACB40">
      <w:numFmt w:val="bullet"/>
      <w:lvlText w:val="•"/>
      <w:lvlJc w:val="left"/>
      <w:pPr>
        <w:ind w:left="5614" w:hanging="353"/>
      </w:pPr>
      <w:rPr>
        <w:rFonts w:hint="default"/>
        <w:lang w:val="en-US" w:eastAsia="en-US" w:bidi="en-US"/>
      </w:rPr>
    </w:lvl>
    <w:lvl w:ilvl="6" w:tplc="0F883356">
      <w:numFmt w:val="bullet"/>
      <w:lvlText w:val="•"/>
      <w:lvlJc w:val="left"/>
      <w:pPr>
        <w:ind w:left="6573" w:hanging="353"/>
      </w:pPr>
      <w:rPr>
        <w:rFonts w:hint="default"/>
        <w:lang w:val="en-US" w:eastAsia="en-US" w:bidi="en-US"/>
      </w:rPr>
    </w:lvl>
    <w:lvl w:ilvl="7" w:tplc="C73CE380">
      <w:numFmt w:val="bullet"/>
      <w:lvlText w:val="•"/>
      <w:lvlJc w:val="left"/>
      <w:pPr>
        <w:ind w:left="7532" w:hanging="353"/>
      </w:pPr>
      <w:rPr>
        <w:rFonts w:hint="default"/>
        <w:lang w:val="en-US" w:eastAsia="en-US" w:bidi="en-US"/>
      </w:rPr>
    </w:lvl>
    <w:lvl w:ilvl="8" w:tplc="2F9CCCC6">
      <w:numFmt w:val="bullet"/>
      <w:lvlText w:val="•"/>
      <w:lvlJc w:val="left"/>
      <w:pPr>
        <w:ind w:left="8491" w:hanging="353"/>
      </w:pPr>
      <w:rPr>
        <w:rFonts w:hint="default"/>
        <w:lang w:val="en-US" w:eastAsia="en-US" w:bidi="en-US"/>
      </w:rPr>
    </w:lvl>
  </w:abstractNum>
  <w:abstractNum w:abstractNumId="2" w15:restartNumberingAfterBreak="0">
    <w:nsid w:val="191209D4"/>
    <w:multiLevelType w:val="hybridMultilevel"/>
    <w:tmpl w:val="994A3528"/>
    <w:lvl w:ilvl="0" w:tplc="BF107CB6">
      <w:start w:val="1"/>
      <w:numFmt w:val="decimal"/>
      <w:lvlText w:val="%1."/>
      <w:lvlJc w:val="left"/>
      <w:pPr>
        <w:ind w:left="960" w:hanging="853"/>
      </w:pPr>
      <w:rPr>
        <w:rFonts w:ascii="Verdana" w:eastAsia="Verdana" w:hAnsi="Verdana" w:cs="Verdana" w:hint="default"/>
        <w:spacing w:val="-2"/>
        <w:w w:val="100"/>
        <w:sz w:val="18"/>
        <w:szCs w:val="18"/>
        <w:lang w:val="en-US" w:eastAsia="en-US" w:bidi="en-US"/>
      </w:rPr>
    </w:lvl>
    <w:lvl w:ilvl="1" w:tplc="CD7CB39E">
      <w:numFmt w:val="bullet"/>
      <w:lvlText w:val="•"/>
      <w:lvlJc w:val="left"/>
      <w:pPr>
        <w:ind w:left="1904" w:hanging="853"/>
      </w:pPr>
      <w:rPr>
        <w:rFonts w:hint="default"/>
        <w:lang w:val="en-US" w:eastAsia="en-US" w:bidi="en-US"/>
      </w:rPr>
    </w:lvl>
    <w:lvl w:ilvl="2" w:tplc="31E8F7BC">
      <w:numFmt w:val="bullet"/>
      <w:lvlText w:val="•"/>
      <w:lvlJc w:val="left"/>
      <w:pPr>
        <w:ind w:left="2849" w:hanging="853"/>
      </w:pPr>
      <w:rPr>
        <w:rFonts w:hint="default"/>
        <w:lang w:val="en-US" w:eastAsia="en-US" w:bidi="en-US"/>
      </w:rPr>
    </w:lvl>
    <w:lvl w:ilvl="3" w:tplc="77C2E502">
      <w:numFmt w:val="bullet"/>
      <w:lvlText w:val="•"/>
      <w:lvlJc w:val="left"/>
      <w:pPr>
        <w:ind w:left="3794" w:hanging="853"/>
      </w:pPr>
      <w:rPr>
        <w:rFonts w:hint="default"/>
        <w:lang w:val="en-US" w:eastAsia="en-US" w:bidi="en-US"/>
      </w:rPr>
    </w:lvl>
    <w:lvl w:ilvl="4" w:tplc="2B78F9A4">
      <w:numFmt w:val="bullet"/>
      <w:lvlText w:val="•"/>
      <w:lvlJc w:val="left"/>
      <w:pPr>
        <w:ind w:left="4739" w:hanging="853"/>
      </w:pPr>
      <w:rPr>
        <w:rFonts w:hint="default"/>
        <w:lang w:val="en-US" w:eastAsia="en-US" w:bidi="en-US"/>
      </w:rPr>
    </w:lvl>
    <w:lvl w:ilvl="5" w:tplc="D25A6450">
      <w:numFmt w:val="bullet"/>
      <w:lvlText w:val="•"/>
      <w:lvlJc w:val="left"/>
      <w:pPr>
        <w:ind w:left="5684" w:hanging="853"/>
      </w:pPr>
      <w:rPr>
        <w:rFonts w:hint="default"/>
        <w:lang w:val="en-US" w:eastAsia="en-US" w:bidi="en-US"/>
      </w:rPr>
    </w:lvl>
    <w:lvl w:ilvl="6" w:tplc="DF1853FE">
      <w:numFmt w:val="bullet"/>
      <w:lvlText w:val="•"/>
      <w:lvlJc w:val="left"/>
      <w:pPr>
        <w:ind w:left="6629" w:hanging="853"/>
      </w:pPr>
      <w:rPr>
        <w:rFonts w:hint="default"/>
        <w:lang w:val="en-US" w:eastAsia="en-US" w:bidi="en-US"/>
      </w:rPr>
    </w:lvl>
    <w:lvl w:ilvl="7" w:tplc="A58C73B4">
      <w:numFmt w:val="bullet"/>
      <w:lvlText w:val="•"/>
      <w:lvlJc w:val="left"/>
      <w:pPr>
        <w:ind w:left="7574" w:hanging="853"/>
      </w:pPr>
      <w:rPr>
        <w:rFonts w:hint="default"/>
        <w:lang w:val="en-US" w:eastAsia="en-US" w:bidi="en-US"/>
      </w:rPr>
    </w:lvl>
    <w:lvl w:ilvl="8" w:tplc="25E07860">
      <w:numFmt w:val="bullet"/>
      <w:lvlText w:val="•"/>
      <w:lvlJc w:val="left"/>
      <w:pPr>
        <w:ind w:left="8519" w:hanging="853"/>
      </w:pPr>
      <w:rPr>
        <w:rFonts w:hint="default"/>
        <w:lang w:val="en-US" w:eastAsia="en-US" w:bidi="en-US"/>
      </w:rPr>
    </w:lvl>
  </w:abstractNum>
  <w:abstractNum w:abstractNumId="3" w15:restartNumberingAfterBreak="0">
    <w:nsid w:val="3E0F75A6"/>
    <w:multiLevelType w:val="hybridMultilevel"/>
    <w:tmpl w:val="42144572"/>
    <w:lvl w:ilvl="0" w:tplc="8B86203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0263BC8"/>
    <w:multiLevelType w:val="hybridMultilevel"/>
    <w:tmpl w:val="48FAF84C"/>
    <w:lvl w:ilvl="0" w:tplc="3A9CE07E">
      <w:start w:val="1"/>
      <w:numFmt w:val="decimal"/>
      <w:lvlText w:val="%1."/>
      <w:lvlJc w:val="left"/>
      <w:pPr>
        <w:ind w:left="828" w:hanging="721"/>
      </w:pPr>
      <w:rPr>
        <w:rFonts w:ascii="Verdana" w:eastAsia="Verdana" w:hAnsi="Verdana" w:cs="Verdana" w:hint="default"/>
        <w:b/>
        <w:bCs/>
        <w:spacing w:val="-2"/>
        <w:w w:val="100"/>
        <w:sz w:val="18"/>
        <w:szCs w:val="18"/>
        <w:lang w:val="en-US" w:eastAsia="en-US" w:bidi="en-US"/>
      </w:rPr>
    </w:lvl>
    <w:lvl w:ilvl="1" w:tplc="0742D23E">
      <w:start w:val="1"/>
      <w:numFmt w:val="lowerRoman"/>
      <w:lvlText w:val="(%2)"/>
      <w:lvlJc w:val="left"/>
      <w:pPr>
        <w:ind w:left="1536" w:hanging="360"/>
        <w:jc w:val="right"/>
      </w:pPr>
      <w:rPr>
        <w:rFonts w:ascii="Verdana" w:eastAsia="Verdana" w:hAnsi="Verdana" w:cs="Verdana" w:hint="default"/>
        <w:spacing w:val="-3"/>
        <w:w w:val="100"/>
        <w:sz w:val="18"/>
        <w:szCs w:val="18"/>
        <w:lang w:val="en-US" w:eastAsia="en-US" w:bidi="en-US"/>
      </w:rPr>
    </w:lvl>
    <w:lvl w:ilvl="2" w:tplc="19AC2CE0">
      <w:numFmt w:val="bullet"/>
      <w:lvlText w:val="•"/>
      <w:lvlJc w:val="left"/>
      <w:pPr>
        <w:ind w:left="2525" w:hanging="360"/>
      </w:pPr>
      <w:rPr>
        <w:rFonts w:hint="default"/>
        <w:lang w:val="en-US" w:eastAsia="en-US" w:bidi="en-US"/>
      </w:rPr>
    </w:lvl>
    <w:lvl w:ilvl="3" w:tplc="EA16D7E8">
      <w:numFmt w:val="bullet"/>
      <w:lvlText w:val="•"/>
      <w:lvlJc w:val="left"/>
      <w:pPr>
        <w:ind w:left="3510" w:hanging="360"/>
      </w:pPr>
      <w:rPr>
        <w:rFonts w:hint="default"/>
        <w:lang w:val="en-US" w:eastAsia="en-US" w:bidi="en-US"/>
      </w:rPr>
    </w:lvl>
    <w:lvl w:ilvl="4" w:tplc="9A5E95FE">
      <w:numFmt w:val="bullet"/>
      <w:lvlText w:val="•"/>
      <w:lvlJc w:val="left"/>
      <w:pPr>
        <w:ind w:left="4496" w:hanging="360"/>
      </w:pPr>
      <w:rPr>
        <w:rFonts w:hint="default"/>
        <w:lang w:val="en-US" w:eastAsia="en-US" w:bidi="en-US"/>
      </w:rPr>
    </w:lvl>
    <w:lvl w:ilvl="5" w:tplc="C70A3EAC">
      <w:numFmt w:val="bullet"/>
      <w:lvlText w:val="•"/>
      <w:lvlJc w:val="left"/>
      <w:pPr>
        <w:ind w:left="5481" w:hanging="360"/>
      </w:pPr>
      <w:rPr>
        <w:rFonts w:hint="default"/>
        <w:lang w:val="en-US" w:eastAsia="en-US" w:bidi="en-US"/>
      </w:rPr>
    </w:lvl>
    <w:lvl w:ilvl="6" w:tplc="D1BEE07E">
      <w:numFmt w:val="bullet"/>
      <w:lvlText w:val="•"/>
      <w:lvlJc w:val="left"/>
      <w:pPr>
        <w:ind w:left="6467" w:hanging="360"/>
      </w:pPr>
      <w:rPr>
        <w:rFonts w:hint="default"/>
        <w:lang w:val="en-US" w:eastAsia="en-US" w:bidi="en-US"/>
      </w:rPr>
    </w:lvl>
    <w:lvl w:ilvl="7" w:tplc="F7A03C16">
      <w:numFmt w:val="bullet"/>
      <w:lvlText w:val="•"/>
      <w:lvlJc w:val="left"/>
      <w:pPr>
        <w:ind w:left="7452" w:hanging="360"/>
      </w:pPr>
      <w:rPr>
        <w:rFonts w:hint="default"/>
        <w:lang w:val="en-US" w:eastAsia="en-US" w:bidi="en-US"/>
      </w:rPr>
    </w:lvl>
    <w:lvl w:ilvl="8" w:tplc="702821A6">
      <w:numFmt w:val="bullet"/>
      <w:lvlText w:val="•"/>
      <w:lvlJc w:val="left"/>
      <w:pPr>
        <w:ind w:left="8437" w:hanging="360"/>
      </w:pPr>
      <w:rPr>
        <w:rFonts w:hint="default"/>
        <w:lang w:val="en-US" w:eastAsia="en-US" w:bidi="en-US"/>
      </w:rPr>
    </w:lvl>
  </w:abstractNum>
  <w:abstractNum w:abstractNumId="5" w15:restartNumberingAfterBreak="0">
    <w:nsid w:val="4BA83855"/>
    <w:multiLevelType w:val="hybridMultilevel"/>
    <w:tmpl w:val="C2A6F3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5B25549"/>
    <w:multiLevelType w:val="hybridMultilevel"/>
    <w:tmpl w:val="4C8E6916"/>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7" w15:restartNumberingAfterBreak="0">
    <w:nsid w:val="65CD2980"/>
    <w:multiLevelType w:val="hybridMultilevel"/>
    <w:tmpl w:val="A300BCF6"/>
    <w:lvl w:ilvl="0" w:tplc="B9A0A554">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5318C9"/>
    <w:multiLevelType w:val="hybridMultilevel"/>
    <w:tmpl w:val="32C40B66"/>
    <w:lvl w:ilvl="0" w:tplc="795426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97121563">
    <w:abstractNumId w:val="1"/>
  </w:num>
  <w:num w:numId="2" w16cid:durableId="1286690639">
    <w:abstractNumId w:val="4"/>
  </w:num>
  <w:num w:numId="3" w16cid:durableId="942223253">
    <w:abstractNumId w:val="2"/>
  </w:num>
  <w:num w:numId="4" w16cid:durableId="672146394">
    <w:abstractNumId w:val="7"/>
  </w:num>
  <w:num w:numId="5" w16cid:durableId="647245834">
    <w:abstractNumId w:val="3"/>
  </w:num>
  <w:num w:numId="6" w16cid:durableId="424765174">
    <w:abstractNumId w:val="5"/>
  </w:num>
  <w:num w:numId="7" w16cid:durableId="821772745">
    <w:abstractNumId w:val="8"/>
  </w:num>
  <w:num w:numId="8" w16cid:durableId="1477068491">
    <w:abstractNumId w:val="6"/>
  </w:num>
  <w:num w:numId="9" w16cid:durableId="15631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84920779.3"/>
    <w:docVar w:name="CurrentReferenceFormat" w:val="[DocumentNumber].[DocumentVersion]"/>
    <w:docVar w:name="DocumentReferencePlacement" w:val="AllPages"/>
    <w:docVar w:name="imProfileCustom1Description" w:val="Nanjia Capital Limited"/>
    <w:docVar w:name="imProfileCustom2" w:val="22723388"/>
    <w:docVar w:name="imProfileCustom2Description" w:val="Nanjia ICAV - ESG Updates"/>
    <w:docVar w:name="imProfileDatabase" w:val="Current"/>
    <w:docVar w:name="imProfileDocNum" w:val="84920779"/>
    <w:docVar w:name="imProfileLastSavedTime" w:val="17-Nov-22 15:26"/>
    <w:docVar w:name="imProfileVersion" w:val="2"/>
  </w:docVars>
  <w:rsids>
    <w:rsidRoot w:val="00323919"/>
    <w:rsid w:val="000027C4"/>
    <w:rsid w:val="00013ABB"/>
    <w:rsid w:val="00014ADA"/>
    <w:rsid w:val="00026486"/>
    <w:rsid w:val="0002673B"/>
    <w:rsid w:val="00026A97"/>
    <w:rsid w:val="000432F8"/>
    <w:rsid w:val="000437C0"/>
    <w:rsid w:val="000559BB"/>
    <w:rsid w:val="0006736D"/>
    <w:rsid w:val="00082D10"/>
    <w:rsid w:val="00085804"/>
    <w:rsid w:val="00086B41"/>
    <w:rsid w:val="000964F8"/>
    <w:rsid w:val="000A19E1"/>
    <w:rsid w:val="000A2E79"/>
    <w:rsid w:val="000B7515"/>
    <w:rsid w:val="000D0F46"/>
    <w:rsid w:val="000D1875"/>
    <w:rsid w:val="000E2A6A"/>
    <w:rsid w:val="000E3762"/>
    <w:rsid w:val="000F6218"/>
    <w:rsid w:val="001011F7"/>
    <w:rsid w:val="00103577"/>
    <w:rsid w:val="00106195"/>
    <w:rsid w:val="00112CC6"/>
    <w:rsid w:val="001540E5"/>
    <w:rsid w:val="00157B1C"/>
    <w:rsid w:val="00176F83"/>
    <w:rsid w:val="00183835"/>
    <w:rsid w:val="00187782"/>
    <w:rsid w:val="00190734"/>
    <w:rsid w:val="00193326"/>
    <w:rsid w:val="001941DC"/>
    <w:rsid w:val="00197553"/>
    <w:rsid w:val="001A166A"/>
    <w:rsid w:val="001B0C14"/>
    <w:rsid w:val="001B59B4"/>
    <w:rsid w:val="001C0458"/>
    <w:rsid w:val="001C1355"/>
    <w:rsid w:val="001D32B4"/>
    <w:rsid w:val="001D521F"/>
    <w:rsid w:val="001D5E6D"/>
    <w:rsid w:val="001D7245"/>
    <w:rsid w:val="001E4D75"/>
    <w:rsid w:val="001E595E"/>
    <w:rsid w:val="001F5334"/>
    <w:rsid w:val="0020300A"/>
    <w:rsid w:val="00205E03"/>
    <w:rsid w:val="002128AF"/>
    <w:rsid w:val="002248D5"/>
    <w:rsid w:val="0023071D"/>
    <w:rsid w:val="00234E20"/>
    <w:rsid w:val="00241DC0"/>
    <w:rsid w:val="00241E33"/>
    <w:rsid w:val="00241EBA"/>
    <w:rsid w:val="00251E56"/>
    <w:rsid w:val="002521A0"/>
    <w:rsid w:val="002573CA"/>
    <w:rsid w:val="00260515"/>
    <w:rsid w:val="00263E29"/>
    <w:rsid w:val="00267EBD"/>
    <w:rsid w:val="00275060"/>
    <w:rsid w:val="00275B3F"/>
    <w:rsid w:val="00277D13"/>
    <w:rsid w:val="002816CB"/>
    <w:rsid w:val="00286BDE"/>
    <w:rsid w:val="00286EC4"/>
    <w:rsid w:val="00292486"/>
    <w:rsid w:val="002B082E"/>
    <w:rsid w:val="002B2674"/>
    <w:rsid w:val="002C2409"/>
    <w:rsid w:val="002C42CD"/>
    <w:rsid w:val="002D71C8"/>
    <w:rsid w:val="002F7D5F"/>
    <w:rsid w:val="003031C6"/>
    <w:rsid w:val="003176C5"/>
    <w:rsid w:val="00320935"/>
    <w:rsid w:val="00323919"/>
    <w:rsid w:val="0033371B"/>
    <w:rsid w:val="003350E7"/>
    <w:rsid w:val="003446B5"/>
    <w:rsid w:val="00344845"/>
    <w:rsid w:val="0034785E"/>
    <w:rsid w:val="0035374C"/>
    <w:rsid w:val="00353885"/>
    <w:rsid w:val="00374216"/>
    <w:rsid w:val="00374A31"/>
    <w:rsid w:val="00383A0D"/>
    <w:rsid w:val="00393284"/>
    <w:rsid w:val="00396304"/>
    <w:rsid w:val="00397009"/>
    <w:rsid w:val="003B30B6"/>
    <w:rsid w:val="003E35BB"/>
    <w:rsid w:val="003F1665"/>
    <w:rsid w:val="00401A6A"/>
    <w:rsid w:val="00407109"/>
    <w:rsid w:val="004136ED"/>
    <w:rsid w:val="00427D70"/>
    <w:rsid w:val="00433323"/>
    <w:rsid w:val="00435A89"/>
    <w:rsid w:val="0045486F"/>
    <w:rsid w:val="00473D17"/>
    <w:rsid w:val="004754C1"/>
    <w:rsid w:val="00480D0B"/>
    <w:rsid w:val="004B0B95"/>
    <w:rsid w:val="004B3D4B"/>
    <w:rsid w:val="004C414A"/>
    <w:rsid w:val="004E61F9"/>
    <w:rsid w:val="005116AD"/>
    <w:rsid w:val="005165B0"/>
    <w:rsid w:val="005331F8"/>
    <w:rsid w:val="005332F1"/>
    <w:rsid w:val="005412E0"/>
    <w:rsid w:val="00541DA5"/>
    <w:rsid w:val="005444F7"/>
    <w:rsid w:val="00550BD2"/>
    <w:rsid w:val="00551301"/>
    <w:rsid w:val="00554E73"/>
    <w:rsid w:val="0056216A"/>
    <w:rsid w:val="00566639"/>
    <w:rsid w:val="00571D3E"/>
    <w:rsid w:val="0057446E"/>
    <w:rsid w:val="00581D1C"/>
    <w:rsid w:val="00591829"/>
    <w:rsid w:val="005976EF"/>
    <w:rsid w:val="00597F10"/>
    <w:rsid w:val="005A0DF0"/>
    <w:rsid w:val="005A3BA2"/>
    <w:rsid w:val="005A489E"/>
    <w:rsid w:val="005A4FCE"/>
    <w:rsid w:val="005B0780"/>
    <w:rsid w:val="005B2E7C"/>
    <w:rsid w:val="005C301F"/>
    <w:rsid w:val="005C781E"/>
    <w:rsid w:val="005D4FCB"/>
    <w:rsid w:val="005D7C05"/>
    <w:rsid w:val="005E1E9F"/>
    <w:rsid w:val="005E2B55"/>
    <w:rsid w:val="005E497D"/>
    <w:rsid w:val="005F1EFD"/>
    <w:rsid w:val="005F3370"/>
    <w:rsid w:val="00601095"/>
    <w:rsid w:val="006026AA"/>
    <w:rsid w:val="00611C66"/>
    <w:rsid w:val="00615792"/>
    <w:rsid w:val="006340BC"/>
    <w:rsid w:val="00635D6D"/>
    <w:rsid w:val="0064314B"/>
    <w:rsid w:val="00647D04"/>
    <w:rsid w:val="006534EA"/>
    <w:rsid w:val="0066162F"/>
    <w:rsid w:val="0066185D"/>
    <w:rsid w:val="006627EB"/>
    <w:rsid w:val="0066579E"/>
    <w:rsid w:val="00666D42"/>
    <w:rsid w:val="006701FF"/>
    <w:rsid w:val="0068325B"/>
    <w:rsid w:val="00684E5C"/>
    <w:rsid w:val="00691788"/>
    <w:rsid w:val="00697171"/>
    <w:rsid w:val="006A3B4B"/>
    <w:rsid w:val="006A40A5"/>
    <w:rsid w:val="006A484E"/>
    <w:rsid w:val="006C7C88"/>
    <w:rsid w:val="006D1D33"/>
    <w:rsid w:val="006E4615"/>
    <w:rsid w:val="006F10D6"/>
    <w:rsid w:val="006F317B"/>
    <w:rsid w:val="00701261"/>
    <w:rsid w:val="00701454"/>
    <w:rsid w:val="00706506"/>
    <w:rsid w:val="00721237"/>
    <w:rsid w:val="00731864"/>
    <w:rsid w:val="007375FA"/>
    <w:rsid w:val="00755EAD"/>
    <w:rsid w:val="007647A3"/>
    <w:rsid w:val="007763A6"/>
    <w:rsid w:val="007806B1"/>
    <w:rsid w:val="00786566"/>
    <w:rsid w:val="00790126"/>
    <w:rsid w:val="00796097"/>
    <w:rsid w:val="0079666D"/>
    <w:rsid w:val="007A6609"/>
    <w:rsid w:val="007B74EB"/>
    <w:rsid w:val="007C3669"/>
    <w:rsid w:val="007C4762"/>
    <w:rsid w:val="007D1800"/>
    <w:rsid w:val="007E1DB9"/>
    <w:rsid w:val="007E21AD"/>
    <w:rsid w:val="007E4B9A"/>
    <w:rsid w:val="007F2FEB"/>
    <w:rsid w:val="007F3B4D"/>
    <w:rsid w:val="007F412F"/>
    <w:rsid w:val="0081147B"/>
    <w:rsid w:val="00816071"/>
    <w:rsid w:val="008171A8"/>
    <w:rsid w:val="00817315"/>
    <w:rsid w:val="00831ADA"/>
    <w:rsid w:val="0083648E"/>
    <w:rsid w:val="00837713"/>
    <w:rsid w:val="00841E4E"/>
    <w:rsid w:val="008616AE"/>
    <w:rsid w:val="00871B6D"/>
    <w:rsid w:val="00883FED"/>
    <w:rsid w:val="00886216"/>
    <w:rsid w:val="008875FA"/>
    <w:rsid w:val="008968FA"/>
    <w:rsid w:val="00896E23"/>
    <w:rsid w:val="00897B82"/>
    <w:rsid w:val="008B2E3B"/>
    <w:rsid w:val="008D24FB"/>
    <w:rsid w:val="008E27C2"/>
    <w:rsid w:val="008E292E"/>
    <w:rsid w:val="008E6C99"/>
    <w:rsid w:val="008F3700"/>
    <w:rsid w:val="008F7B2B"/>
    <w:rsid w:val="009075C7"/>
    <w:rsid w:val="009149F8"/>
    <w:rsid w:val="00915920"/>
    <w:rsid w:val="0094459C"/>
    <w:rsid w:val="00945364"/>
    <w:rsid w:val="009459DF"/>
    <w:rsid w:val="00946303"/>
    <w:rsid w:val="0095765B"/>
    <w:rsid w:val="009603FA"/>
    <w:rsid w:val="009607ED"/>
    <w:rsid w:val="00963E13"/>
    <w:rsid w:val="00964530"/>
    <w:rsid w:val="00964A17"/>
    <w:rsid w:val="00966EE1"/>
    <w:rsid w:val="00970EC2"/>
    <w:rsid w:val="00973AE7"/>
    <w:rsid w:val="009806CF"/>
    <w:rsid w:val="0098169A"/>
    <w:rsid w:val="00983A2A"/>
    <w:rsid w:val="00983DD8"/>
    <w:rsid w:val="00983F5E"/>
    <w:rsid w:val="00987BEE"/>
    <w:rsid w:val="00992A8B"/>
    <w:rsid w:val="00994495"/>
    <w:rsid w:val="009A1B62"/>
    <w:rsid w:val="009A5E7A"/>
    <w:rsid w:val="009B11D0"/>
    <w:rsid w:val="009B5D7C"/>
    <w:rsid w:val="009B6C66"/>
    <w:rsid w:val="009C18A5"/>
    <w:rsid w:val="009C2F20"/>
    <w:rsid w:val="009C4776"/>
    <w:rsid w:val="009C679F"/>
    <w:rsid w:val="009F093C"/>
    <w:rsid w:val="009F52AE"/>
    <w:rsid w:val="009F6590"/>
    <w:rsid w:val="00A12551"/>
    <w:rsid w:val="00A13445"/>
    <w:rsid w:val="00A2372B"/>
    <w:rsid w:val="00A30FF9"/>
    <w:rsid w:val="00A3290E"/>
    <w:rsid w:val="00A33F19"/>
    <w:rsid w:val="00A3492D"/>
    <w:rsid w:val="00A47ACA"/>
    <w:rsid w:val="00A47B6C"/>
    <w:rsid w:val="00A5063A"/>
    <w:rsid w:val="00A54D7C"/>
    <w:rsid w:val="00A7091A"/>
    <w:rsid w:val="00A87E3D"/>
    <w:rsid w:val="00AA084B"/>
    <w:rsid w:val="00AA4E04"/>
    <w:rsid w:val="00AB2846"/>
    <w:rsid w:val="00AB73A1"/>
    <w:rsid w:val="00AC0B29"/>
    <w:rsid w:val="00AD6750"/>
    <w:rsid w:val="00AD7F54"/>
    <w:rsid w:val="00AE0A76"/>
    <w:rsid w:val="00AE3EA2"/>
    <w:rsid w:val="00AF618F"/>
    <w:rsid w:val="00B13E9D"/>
    <w:rsid w:val="00B220E1"/>
    <w:rsid w:val="00B2213C"/>
    <w:rsid w:val="00B2290A"/>
    <w:rsid w:val="00B33F61"/>
    <w:rsid w:val="00B340D9"/>
    <w:rsid w:val="00B44D31"/>
    <w:rsid w:val="00B46DF7"/>
    <w:rsid w:val="00B4763B"/>
    <w:rsid w:val="00B50720"/>
    <w:rsid w:val="00B53880"/>
    <w:rsid w:val="00B577F0"/>
    <w:rsid w:val="00B627B2"/>
    <w:rsid w:val="00B6306C"/>
    <w:rsid w:val="00B867CB"/>
    <w:rsid w:val="00BA7B5D"/>
    <w:rsid w:val="00BB04D0"/>
    <w:rsid w:val="00BB209E"/>
    <w:rsid w:val="00BB6DB2"/>
    <w:rsid w:val="00BD0A7E"/>
    <w:rsid w:val="00BD7FD4"/>
    <w:rsid w:val="00BE5A82"/>
    <w:rsid w:val="00BE6042"/>
    <w:rsid w:val="00BF1526"/>
    <w:rsid w:val="00BF46B1"/>
    <w:rsid w:val="00BF52EF"/>
    <w:rsid w:val="00BF5532"/>
    <w:rsid w:val="00BF69DE"/>
    <w:rsid w:val="00C01A38"/>
    <w:rsid w:val="00C053D9"/>
    <w:rsid w:val="00C0674F"/>
    <w:rsid w:val="00C06B1E"/>
    <w:rsid w:val="00C12F4B"/>
    <w:rsid w:val="00C25A73"/>
    <w:rsid w:val="00C33BF9"/>
    <w:rsid w:val="00C368BF"/>
    <w:rsid w:val="00C47B51"/>
    <w:rsid w:val="00C53074"/>
    <w:rsid w:val="00C84257"/>
    <w:rsid w:val="00C94B0A"/>
    <w:rsid w:val="00CA1841"/>
    <w:rsid w:val="00CB7082"/>
    <w:rsid w:val="00CD3DEA"/>
    <w:rsid w:val="00CD7FA7"/>
    <w:rsid w:val="00CE170C"/>
    <w:rsid w:val="00CE364B"/>
    <w:rsid w:val="00D02759"/>
    <w:rsid w:val="00D06B6E"/>
    <w:rsid w:val="00D14C6E"/>
    <w:rsid w:val="00D436BA"/>
    <w:rsid w:val="00D45C88"/>
    <w:rsid w:val="00D4682D"/>
    <w:rsid w:val="00D470EA"/>
    <w:rsid w:val="00D625B2"/>
    <w:rsid w:val="00D62E6B"/>
    <w:rsid w:val="00D85400"/>
    <w:rsid w:val="00D97BFC"/>
    <w:rsid w:val="00DA0595"/>
    <w:rsid w:val="00DA21B0"/>
    <w:rsid w:val="00DB60ED"/>
    <w:rsid w:val="00DC46BF"/>
    <w:rsid w:val="00DE5FDE"/>
    <w:rsid w:val="00DF301B"/>
    <w:rsid w:val="00DF7974"/>
    <w:rsid w:val="00E2247E"/>
    <w:rsid w:val="00E41F0C"/>
    <w:rsid w:val="00E44B8C"/>
    <w:rsid w:val="00E5187D"/>
    <w:rsid w:val="00E525E9"/>
    <w:rsid w:val="00E65588"/>
    <w:rsid w:val="00E70F98"/>
    <w:rsid w:val="00E72CCE"/>
    <w:rsid w:val="00E75486"/>
    <w:rsid w:val="00E8363C"/>
    <w:rsid w:val="00E85515"/>
    <w:rsid w:val="00E859C8"/>
    <w:rsid w:val="00E86A39"/>
    <w:rsid w:val="00E976AE"/>
    <w:rsid w:val="00EA1C06"/>
    <w:rsid w:val="00EA78A6"/>
    <w:rsid w:val="00EB23BA"/>
    <w:rsid w:val="00EB7336"/>
    <w:rsid w:val="00EC221B"/>
    <w:rsid w:val="00ED59C7"/>
    <w:rsid w:val="00F20E1C"/>
    <w:rsid w:val="00F21701"/>
    <w:rsid w:val="00F26F48"/>
    <w:rsid w:val="00F318CD"/>
    <w:rsid w:val="00F373EF"/>
    <w:rsid w:val="00F505F2"/>
    <w:rsid w:val="00F511DF"/>
    <w:rsid w:val="00F523CC"/>
    <w:rsid w:val="00F5436A"/>
    <w:rsid w:val="00F546EA"/>
    <w:rsid w:val="00F5509A"/>
    <w:rsid w:val="00F55B53"/>
    <w:rsid w:val="00F60803"/>
    <w:rsid w:val="00F621F3"/>
    <w:rsid w:val="00F63C21"/>
    <w:rsid w:val="00F85C05"/>
    <w:rsid w:val="00F92E47"/>
    <w:rsid w:val="00FA542E"/>
    <w:rsid w:val="00FA75AE"/>
    <w:rsid w:val="00FB2FDF"/>
    <w:rsid w:val="00FC42C9"/>
    <w:rsid w:val="00FD44F2"/>
    <w:rsid w:val="00FD55E2"/>
    <w:rsid w:val="00FF00E1"/>
    <w:rsid w:val="00FF4916"/>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33053"/>
  <w15:docId w15:val="{B702960A-2633-4276-85EC-2062EB9F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6218"/>
    <w:pPr>
      <w:jc w:val="both"/>
    </w:pPr>
    <w:rPr>
      <w:rFonts w:ascii="Verdana" w:eastAsia="Verdana" w:hAnsi="Verdana" w:cs="Verdana"/>
      <w:sz w:val="18"/>
      <w:szCs w:val="18"/>
      <w:lang w:bidi="en-US"/>
    </w:rPr>
  </w:style>
  <w:style w:type="paragraph" w:styleId="Heading1">
    <w:name w:val="heading 1"/>
    <w:basedOn w:val="Normal"/>
    <w:uiPriority w:val="1"/>
    <w:qFormat/>
    <w:rsid w:val="006534EA"/>
    <w:pPr>
      <w:keepNext/>
      <w:ind w:left="567"/>
      <w:outlineLvl w:val="0"/>
    </w:pPr>
    <w:rPr>
      <w:b/>
      <w:b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60"/>
      <w:ind w:left="960" w:hanging="852"/>
    </w:pPr>
  </w:style>
  <w:style w:type="paragraph" w:styleId="BodyText">
    <w:name w:val="Body Text"/>
    <w:basedOn w:val="Normal"/>
    <w:uiPriority w:val="1"/>
    <w:qFormat/>
    <w:rsid w:val="000F6218"/>
    <w:pPr>
      <w:ind w:left="567"/>
    </w:pPr>
  </w:style>
  <w:style w:type="paragraph" w:styleId="ListParagraph">
    <w:name w:val="List Paragraph"/>
    <w:basedOn w:val="Normal"/>
    <w:uiPriority w:val="1"/>
    <w:qFormat/>
    <w:rsid w:val="000F6218"/>
    <w:pPr>
      <w:keepNext/>
      <w:numPr>
        <w:numId w:val="4"/>
      </w:numPr>
      <w:spacing w:after="240"/>
      <w:ind w:left="567" w:hanging="567"/>
    </w:pPr>
    <w:rPr>
      <w:b/>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176F83"/>
    <w:rPr>
      <w:rFonts w:ascii="Segoe UI" w:hAnsi="Segoe UI" w:cs="Segoe UI"/>
    </w:rPr>
  </w:style>
  <w:style w:type="character" w:customStyle="1" w:styleId="BalloonTextChar">
    <w:name w:val="Balloon Text Char"/>
    <w:basedOn w:val="DefaultParagraphFont"/>
    <w:link w:val="BalloonText"/>
    <w:uiPriority w:val="99"/>
    <w:semiHidden/>
    <w:rsid w:val="00176F83"/>
    <w:rPr>
      <w:rFonts w:ascii="Segoe UI" w:eastAsia="Verdana" w:hAnsi="Segoe UI" w:cs="Segoe UI"/>
      <w:sz w:val="18"/>
      <w:szCs w:val="18"/>
      <w:lang w:bidi="en-US"/>
    </w:rPr>
  </w:style>
  <w:style w:type="paragraph" w:styleId="Header">
    <w:name w:val="header"/>
    <w:basedOn w:val="Normal"/>
    <w:link w:val="HeaderChar"/>
    <w:uiPriority w:val="99"/>
    <w:unhideWhenUsed/>
    <w:rsid w:val="00176F83"/>
    <w:pPr>
      <w:tabs>
        <w:tab w:val="center" w:pos="4513"/>
        <w:tab w:val="right" w:pos="9026"/>
      </w:tabs>
    </w:pPr>
  </w:style>
  <w:style w:type="character" w:customStyle="1" w:styleId="HeaderChar">
    <w:name w:val="Header Char"/>
    <w:basedOn w:val="DefaultParagraphFont"/>
    <w:link w:val="Header"/>
    <w:uiPriority w:val="99"/>
    <w:rsid w:val="00176F83"/>
    <w:rPr>
      <w:rFonts w:ascii="Verdana" w:eastAsia="Verdana" w:hAnsi="Verdana" w:cs="Verdana"/>
      <w:lang w:bidi="en-US"/>
    </w:rPr>
  </w:style>
  <w:style w:type="paragraph" w:styleId="Footer">
    <w:name w:val="footer"/>
    <w:basedOn w:val="Normal"/>
    <w:link w:val="FooterChar"/>
    <w:uiPriority w:val="99"/>
    <w:unhideWhenUsed/>
    <w:rsid w:val="00176F83"/>
    <w:pPr>
      <w:tabs>
        <w:tab w:val="center" w:pos="4513"/>
        <w:tab w:val="right" w:pos="9026"/>
      </w:tabs>
    </w:pPr>
  </w:style>
  <w:style w:type="character" w:customStyle="1" w:styleId="FooterChar">
    <w:name w:val="Footer Char"/>
    <w:basedOn w:val="DefaultParagraphFont"/>
    <w:link w:val="Footer"/>
    <w:uiPriority w:val="99"/>
    <w:rsid w:val="00176F83"/>
    <w:rPr>
      <w:rFonts w:ascii="Verdana" w:eastAsia="Verdana" w:hAnsi="Verdana" w:cs="Verdana"/>
      <w:lang w:bidi="en-US"/>
    </w:rPr>
  </w:style>
  <w:style w:type="character" w:styleId="CommentReference">
    <w:name w:val="annotation reference"/>
    <w:basedOn w:val="DefaultParagraphFont"/>
    <w:uiPriority w:val="99"/>
    <w:semiHidden/>
    <w:unhideWhenUsed/>
    <w:rsid w:val="0064314B"/>
    <w:rPr>
      <w:sz w:val="16"/>
      <w:szCs w:val="16"/>
    </w:rPr>
  </w:style>
  <w:style w:type="paragraph" w:styleId="CommentText">
    <w:name w:val="annotation text"/>
    <w:basedOn w:val="Normal"/>
    <w:link w:val="CommentTextChar"/>
    <w:uiPriority w:val="99"/>
    <w:semiHidden/>
    <w:unhideWhenUsed/>
    <w:rsid w:val="0064314B"/>
    <w:rPr>
      <w:sz w:val="20"/>
      <w:szCs w:val="20"/>
    </w:rPr>
  </w:style>
  <w:style w:type="character" w:customStyle="1" w:styleId="CommentTextChar">
    <w:name w:val="Comment Text Char"/>
    <w:basedOn w:val="DefaultParagraphFont"/>
    <w:link w:val="CommentText"/>
    <w:uiPriority w:val="99"/>
    <w:semiHidden/>
    <w:rsid w:val="0064314B"/>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64314B"/>
    <w:rPr>
      <w:b/>
      <w:bCs/>
    </w:rPr>
  </w:style>
  <w:style w:type="character" w:customStyle="1" w:styleId="CommentSubjectChar">
    <w:name w:val="Comment Subject Char"/>
    <w:basedOn w:val="CommentTextChar"/>
    <w:link w:val="CommentSubject"/>
    <w:uiPriority w:val="99"/>
    <w:semiHidden/>
    <w:rsid w:val="0064314B"/>
    <w:rPr>
      <w:rFonts w:ascii="Verdana" w:eastAsia="Verdana" w:hAnsi="Verdana" w:cs="Verdana"/>
      <w:b/>
      <w:bCs/>
      <w:sz w:val="20"/>
      <w:szCs w:val="20"/>
      <w:lang w:bidi="en-US"/>
    </w:rPr>
  </w:style>
  <w:style w:type="paragraph" w:customStyle="1" w:styleId="FooterReference">
    <w:name w:val="Footer Reference"/>
    <w:basedOn w:val="Footer"/>
    <w:link w:val="FooterReferenceChar"/>
    <w:semiHidden/>
    <w:rsid w:val="00AC0B29"/>
    <w:pPr>
      <w:jc w:val="left"/>
    </w:pPr>
    <w:rPr>
      <w:rFonts w:ascii="Times New Roman" w:hAnsi="Times New Roman" w:cs="Times New Roman"/>
      <w:b/>
      <w:sz w:val="16"/>
    </w:rPr>
  </w:style>
  <w:style w:type="character" w:customStyle="1" w:styleId="FooterReferenceChar">
    <w:name w:val="Footer Reference Char"/>
    <w:basedOn w:val="DefaultParagraphFont"/>
    <w:link w:val="FooterReference"/>
    <w:semiHidden/>
    <w:rsid w:val="00AC0B29"/>
    <w:rPr>
      <w:rFonts w:ascii="Times New Roman" w:eastAsia="Verdana" w:hAnsi="Times New Roman" w:cs="Times New Roman"/>
      <w:sz w:val="16"/>
      <w:lang w:bidi="en-US"/>
    </w:rPr>
  </w:style>
  <w:style w:type="paragraph" w:styleId="TOCHeading">
    <w:name w:val="TOC Heading"/>
    <w:basedOn w:val="Heading1"/>
    <w:next w:val="Normal"/>
    <w:uiPriority w:val="39"/>
    <w:unhideWhenUsed/>
    <w:qFormat/>
    <w:rsid w:val="00F505F2"/>
    <w:pPr>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bidi="ar-SA"/>
    </w:rPr>
  </w:style>
  <w:style w:type="character" w:styleId="Hyperlink">
    <w:name w:val="Hyperlink"/>
    <w:basedOn w:val="DefaultParagraphFont"/>
    <w:uiPriority w:val="99"/>
    <w:unhideWhenUsed/>
    <w:rsid w:val="00F505F2"/>
    <w:rPr>
      <w:color w:val="0000FF" w:themeColor="hyperlink"/>
      <w:u w:val="single"/>
    </w:rPr>
  </w:style>
  <w:style w:type="paragraph" w:styleId="Revision">
    <w:name w:val="Revision"/>
    <w:hidden/>
    <w:uiPriority w:val="99"/>
    <w:semiHidden/>
    <w:rsid w:val="00B6306C"/>
    <w:pPr>
      <w:widowControl/>
      <w:autoSpaceDE/>
      <w:autoSpaceDN/>
    </w:pPr>
    <w:rPr>
      <w:rFonts w:ascii="Verdana" w:eastAsia="Verdana" w:hAnsi="Verdana" w:cs="Verdana"/>
      <w:sz w:val="18"/>
      <w:szCs w:val="18"/>
      <w:lang w:bidi="en-US"/>
    </w:rPr>
  </w:style>
  <w:style w:type="paragraph" w:customStyle="1" w:styleId="BodyText1">
    <w:name w:val="BodyText_1"/>
    <w:uiPriority w:val="1"/>
    <w:qFormat/>
    <w:rsid w:val="009B11D0"/>
    <w:pPr>
      <w:ind w:left="567"/>
      <w:jc w:val="both"/>
    </w:pPr>
    <w:rPr>
      <w:rFonts w:ascii="Verdana" w:eastAsia="Verdana" w:hAnsi="Verdana" w:cs="Verdana"/>
      <w:sz w:val="18"/>
      <w:szCs w:val="18"/>
      <w:lang w:bidi="en-US"/>
    </w:rPr>
  </w:style>
  <w:style w:type="paragraph" w:customStyle="1" w:styleId="FooterReference1">
    <w:name w:val="FooterReference_1"/>
    <w:semiHidden/>
    <w:rsid w:val="009B11D0"/>
    <w:pPr>
      <w:tabs>
        <w:tab w:val="center" w:pos="4513"/>
        <w:tab w:val="right" w:pos="9026"/>
      </w:tabs>
    </w:pPr>
    <w:rPr>
      <w:rFonts w:ascii="Times New Roman" w:eastAsia="Verdana" w:hAnsi="Times New Roman" w:cs="Times New Roman"/>
      <w:b/>
      <w:sz w:val="16"/>
      <w:szCs w:val="18"/>
      <w:lang w:bidi="en-US"/>
    </w:rPr>
  </w:style>
  <w:style w:type="paragraph" w:customStyle="1" w:styleId="Heading11">
    <w:name w:val="Heading1_1"/>
    <w:uiPriority w:val="1"/>
    <w:qFormat/>
    <w:rsid w:val="009B11D0"/>
    <w:pPr>
      <w:keepNext/>
      <w:ind w:left="567"/>
      <w:jc w:val="both"/>
      <w:outlineLvl w:val="0"/>
    </w:pPr>
    <w:rPr>
      <w:rFonts w:ascii="Verdana" w:eastAsia="Verdana" w:hAnsi="Verdana" w:cs="Verdana"/>
      <w:b/>
      <w:bCs/>
      <w:sz w:val="18"/>
      <w:szCs w:val="18"/>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15626">
      <w:bodyDiv w:val="1"/>
      <w:marLeft w:val="0"/>
      <w:marRight w:val="0"/>
      <w:marTop w:val="0"/>
      <w:marBottom w:val="0"/>
      <w:divBdr>
        <w:top w:val="none" w:sz="0" w:space="0" w:color="auto"/>
        <w:left w:val="none" w:sz="0" w:space="0" w:color="auto"/>
        <w:bottom w:val="none" w:sz="0" w:space="0" w:color="auto"/>
        <w:right w:val="none" w:sz="0" w:space="0" w:color="auto"/>
      </w:divBdr>
    </w:div>
    <w:div w:id="245961024">
      <w:bodyDiv w:val="1"/>
      <w:marLeft w:val="0"/>
      <w:marRight w:val="0"/>
      <w:marTop w:val="0"/>
      <w:marBottom w:val="0"/>
      <w:divBdr>
        <w:top w:val="none" w:sz="0" w:space="0" w:color="auto"/>
        <w:left w:val="none" w:sz="0" w:space="0" w:color="auto"/>
        <w:bottom w:val="none" w:sz="0" w:space="0" w:color="auto"/>
        <w:right w:val="none" w:sz="0" w:space="0" w:color="auto"/>
      </w:divBdr>
    </w:div>
    <w:div w:id="172340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8342D-D525-4851-B9A7-A57B729B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5167</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HKG_LIB1\1629471\6</vt:lpstr>
    </vt:vector>
  </TitlesOfParts>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HKG_LIB1\1629471\6</dc:title>
  <dc:creator>ShacklG</dc:creator>
  <cp:lastModifiedBy>Gigi Ma</cp:lastModifiedBy>
  <cp:revision>4</cp:revision>
  <cp:lastPrinted>2022-11-28T10:30:00Z</cp:lastPrinted>
  <dcterms:created xsi:type="dcterms:W3CDTF">2024-11-13T13:44:00Z</dcterms:created>
  <dcterms:modified xsi:type="dcterms:W3CDTF">2024-11-13T13:44:00Z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LastSaved">
    <vt:filetime>2019-01-07T00:00:00Z</vt:filetime>
  </property>
  <property fmtid="{D5CDD505-2E9C-101B-9397-08002B2CF9AE}" pid="4" name="DocType">
    <vt:lpwstr>DOC</vt:lpwstr>
  </property>
  <property fmtid="{D5CDD505-2E9C-101B-9397-08002B2CF9AE}" pid="5" name="ClientID">
    <vt:lpwstr>NEW</vt:lpwstr>
  </property>
  <property fmtid="{D5CDD505-2E9C-101B-9397-08002B2CF9AE}" pid="6" name="MatterID">
    <vt:lpwstr>NEW</vt:lpwstr>
  </property>
  <property fmtid="{D5CDD505-2E9C-101B-9397-08002B2CF9AE}" pid="7" name="eDOCS AutoSave">
    <vt:lpwstr/>
  </property>
  <property fmtid="{D5CDD505-2E9C-101B-9397-08002B2CF9AE}" pid="8" name="iManageFooter">
    <vt:lpwstr>#630578427v4&lt;HONGKONG&gt; - Supplement - Nanjia - Civetta Nanjia Fund (dated 13 November 2024)</vt:lpwstr>
  </property>
</Properties>
</file>