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F87B" w14:textId="19DBE83E" w:rsidR="00E15F9F" w:rsidRPr="00E15F9F" w:rsidRDefault="00E15F9F" w:rsidP="00E15F9F">
      <w:pPr>
        <w:pStyle w:val="Title"/>
        <w:rPr>
          <w:color w:val="auto"/>
        </w:rPr>
      </w:pPr>
      <w:r w:rsidRPr="00E15F9F">
        <w:rPr>
          <w:color w:val="auto"/>
        </w:rPr>
        <w:t xml:space="preserve">TAM </w:t>
      </w:r>
      <w:r w:rsidR="00FB5CAC">
        <w:rPr>
          <w:color w:val="auto"/>
        </w:rPr>
        <w:t>Dynamic</w:t>
      </w:r>
      <w:r w:rsidRPr="00E15F9F">
        <w:rPr>
          <w:color w:val="auto"/>
        </w:rPr>
        <w:t xml:space="preserve"> Fund</w:t>
      </w:r>
    </w:p>
    <w:p w14:paraId="5ADD5223" w14:textId="77777777" w:rsidR="00E15F9F" w:rsidRPr="00E15F9F" w:rsidRDefault="00E15F9F" w:rsidP="00E15F9F"/>
    <w:p w14:paraId="77A4DF2E" w14:textId="77777777" w:rsidR="00E15F9F" w:rsidRPr="00E15F9F" w:rsidRDefault="00E15F9F" w:rsidP="00E15F9F">
      <w:pPr>
        <w:pStyle w:val="Title"/>
        <w:rPr>
          <w:color w:val="auto"/>
        </w:rPr>
      </w:pPr>
    </w:p>
    <w:p w14:paraId="0B12D915" w14:textId="4307679B" w:rsidR="00E15F9F" w:rsidRPr="00E15F9F" w:rsidRDefault="00E15F9F" w:rsidP="00E15F9F">
      <w:pPr>
        <w:pStyle w:val="Title"/>
        <w:rPr>
          <w:color w:val="auto"/>
        </w:rPr>
      </w:pPr>
      <w:r w:rsidRPr="00E15F9F">
        <w:rPr>
          <w:color w:val="auto"/>
        </w:rPr>
        <w:t xml:space="preserve">Supplement to the Prospectus dated </w:t>
      </w:r>
      <w:r w:rsidR="00FB5CAC">
        <w:rPr>
          <w:color w:val="auto"/>
        </w:rPr>
        <w:t>2 December</w:t>
      </w:r>
      <w:r w:rsidR="00436CC7">
        <w:rPr>
          <w:color w:val="auto"/>
        </w:rPr>
        <w:t xml:space="preserve"> 20</w:t>
      </w:r>
      <w:r w:rsidR="00FB5CAC">
        <w:rPr>
          <w:color w:val="auto"/>
        </w:rPr>
        <w:t>21</w:t>
      </w:r>
    </w:p>
    <w:p w14:paraId="6D1EA75C" w14:textId="77777777" w:rsidR="00E15F9F" w:rsidRPr="00E15F9F" w:rsidRDefault="00E15F9F" w:rsidP="00E15F9F">
      <w:pPr>
        <w:pStyle w:val="Title"/>
        <w:rPr>
          <w:color w:val="auto"/>
          <w:lang w:val="en-US"/>
        </w:rPr>
      </w:pPr>
      <w:r w:rsidRPr="00E15F9F">
        <w:rPr>
          <w:color w:val="auto"/>
        </w:rPr>
        <w:t>for Platform Capital UCITS ICAV</w:t>
      </w:r>
    </w:p>
    <w:p w14:paraId="4C075F1F" w14:textId="77777777" w:rsidR="00E15F9F" w:rsidRPr="00E15F9F" w:rsidRDefault="00E15F9F" w:rsidP="00E15F9F">
      <w:pPr>
        <w:pStyle w:val="Title"/>
        <w:rPr>
          <w:color w:val="auto"/>
          <w:lang w:val="en-US"/>
        </w:rPr>
      </w:pPr>
      <w:r w:rsidRPr="00E15F9F">
        <w:rPr>
          <w:color w:val="auto"/>
        </w:rPr>
        <w:t>An umbrella fund with segregated liability between sub-funds</w:t>
      </w:r>
    </w:p>
    <w:p w14:paraId="51D8F4EA" w14:textId="2305EBB8" w:rsidR="00E15F9F" w:rsidRPr="00E15F9F" w:rsidRDefault="00E15F9F" w:rsidP="00E15F9F">
      <w:pPr>
        <w:rPr>
          <w:lang w:val="en-US"/>
        </w:rPr>
      </w:pPr>
      <w:r w:rsidRPr="00E15F9F">
        <w:t xml:space="preserve">This Supplement contains specific information in relation to TAM </w:t>
      </w:r>
      <w:r w:rsidR="00FB5CAC">
        <w:t>Dynamic</w:t>
      </w:r>
      <w:r w:rsidRPr="00E15F9F">
        <w:t xml:space="preserve"> Fund (the </w:t>
      </w:r>
      <w:r w:rsidRPr="00E15F9F">
        <w:rPr>
          <w:b/>
        </w:rPr>
        <w:t>Sub-Fund</w:t>
      </w:r>
      <w:r w:rsidRPr="00E15F9F">
        <w:t xml:space="preserve">), an open-ended sub-fund of Platform Capital UCITS ICAV (the </w:t>
      </w:r>
      <w:r w:rsidRPr="00E15F9F">
        <w:rPr>
          <w:b/>
        </w:rPr>
        <w:t>ICAV</w:t>
      </w:r>
      <w:r w:rsidRPr="00E15F9F">
        <w:t>) an Irish collective asset-management vehicle umbrella fund with segregated liability between sub-funds which is registered in Ireland by the Central Bank of Ireland and authorised under the Regulations.</w:t>
      </w:r>
    </w:p>
    <w:p w14:paraId="0B3887E2" w14:textId="29A5B5C7" w:rsidR="00E15F9F" w:rsidRPr="000A79CB" w:rsidRDefault="00E15F9F" w:rsidP="00E15F9F">
      <w:r w:rsidRPr="000A79CB">
        <w:t xml:space="preserve">This Supplement forms part of and should be read in conjunction with the Prospectus dated </w:t>
      </w:r>
      <w:r w:rsidR="00B049DD" w:rsidRPr="000A79CB">
        <w:t>2 December 2021</w:t>
      </w:r>
      <w:r w:rsidR="00436CC7" w:rsidRPr="000A79CB">
        <w:t>.</w:t>
      </w:r>
    </w:p>
    <w:p w14:paraId="12C19889" w14:textId="77777777" w:rsidR="00E15F9F" w:rsidRPr="00E15F9F" w:rsidRDefault="00E15F9F" w:rsidP="00E15F9F">
      <w:r w:rsidRPr="00E15F9F">
        <w:t xml:space="preserve">The Directors of the ICAV, whose names appear in the </w:t>
      </w:r>
      <w:r w:rsidRPr="00E15F9F">
        <w:rPr>
          <w:b/>
        </w:rPr>
        <w:t>Directors of the ICAV</w:t>
      </w:r>
      <w:r w:rsidRPr="00E15F9F">
        <w:t xml:space="preserve"> section of the Prospectus, accept responsibility for the information contained in the Prospectus and this Supplement.  To the best of the knowledge and belief of the Directors (who have taken all reasonable care to ensure that such is the case) such information is in accordance with the facts and does not omit anything likely to affect the import of such information. The Directors accept responsibility accordingly.</w:t>
      </w:r>
    </w:p>
    <w:p w14:paraId="2805726C" w14:textId="77777777" w:rsidR="00E15F9F" w:rsidRPr="00E15F9F" w:rsidRDefault="00E15F9F" w:rsidP="00E15F9F">
      <w:pPr>
        <w:rPr>
          <w:lang w:val="en-US"/>
        </w:rPr>
      </w:pPr>
      <w:r w:rsidRPr="00E15F9F">
        <w:t>Words and expressions defined in the Prospectus shall, unless the context otherwise requires, have the same meaning when used in this Supplement.</w:t>
      </w:r>
    </w:p>
    <w:p w14:paraId="74036AFA" w14:textId="146178C6" w:rsidR="00E15F9F" w:rsidRPr="009E27FB" w:rsidRDefault="00E15F9F" w:rsidP="00E15F9F">
      <w:pPr>
        <w:rPr>
          <w:b/>
        </w:rPr>
      </w:pPr>
      <w:r w:rsidRPr="00E15F9F">
        <w:rPr>
          <w:b/>
        </w:rPr>
        <w:t xml:space="preserve">Date: </w:t>
      </w:r>
      <w:r w:rsidR="00530750">
        <w:rPr>
          <w:b/>
        </w:rPr>
        <w:t>5</w:t>
      </w:r>
      <w:r w:rsidR="004D29B5">
        <w:rPr>
          <w:b/>
        </w:rPr>
        <w:t xml:space="preserve"> March</w:t>
      </w:r>
      <w:r w:rsidR="00A45C01">
        <w:rPr>
          <w:b/>
        </w:rPr>
        <w:t xml:space="preserve"> 2024</w:t>
      </w:r>
    </w:p>
    <w:p w14:paraId="422BFF8B" w14:textId="77777777" w:rsidR="00E15F9F" w:rsidRPr="00E15F9F" w:rsidRDefault="00E15F9F" w:rsidP="00E15F9F">
      <w:pPr>
        <w:widowControl/>
        <w:spacing w:before="0" w:line="240" w:lineRule="auto"/>
        <w:jc w:val="left"/>
        <w:rPr>
          <w:rFonts w:cs="Arial"/>
        </w:rPr>
      </w:pPr>
      <w:r w:rsidRPr="00E15F9F">
        <w:rPr>
          <w:rFonts w:cs="Arial"/>
        </w:rPr>
        <w:br w:type="page"/>
      </w:r>
    </w:p>
    <w:p w14:paraId="2CF741C0" w14:textId="77777777" w:rsidR="00E15F9F" w:rsidRPr="00E15F9F" w:rsidRDefault="00E15F9F" w:rsidP="00E15F9F">
      <w:pPr>
        <w:pStyle w:val="Title"/>
        <w:rPr>
          <w:color w:val="auto"/>
        </w:rPr>
      </w:pPr>
      <w:r w:rsidRPr="00E15F9F">
        <w:rPr>
          <w:color w:val="auto"/>
        </w:rPr>
        <w:lastRenderedPageBreak/>
        <w:t>TABLE OF CONTENTS</w:t>
      </w:r>
    </w:p>
    <w:p w14:paraId="24A23CD1" w14:textId="2E6E1617" w:rsidR="00C4416A" w:rsidRDefault="00E15F9F">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r w:rsidRPr="00E15F9F">
        <w:rPr>
          <w:rFonts w:cs="Arial"/>
        </w:rPr>
        <w:fldChar w:fldCharType="begin"/>
      </w:r>
      <w:r w:rsidRPr="00E15F9F">
        <w:rPr>
          <w:rFonts w:cs="Arial"/>
        </w:rPr>
        <w:instrText xml:space="preserve"> TOC \o "1-1" \h \z \u </w:instrText>
      </w:r>
      <w:r w:rsidRPr="00E15F9F">
        <w:rPr>
          <w:rFonts w:cs="Arial"/>
        </w:rPr>
        <w:fldChar w:fldCharType="separate"/>
      </w:r>
      <w:hyperlink w:anchor="_Toc10131006" w:history="1">
        <w:r w:rsidR="00C4416A" w:rsidRPr="00201208">
          <w:rPr>
            <w:rStyle w:val="Hyperlink"/>
            <w:noProof/>
          </w:rPr>
          <w:t>1.</w:t>
        </w:r>
        <w:r w:rsidR="00C4416A">
          <w:rPr>
            <w:rFonts w:asciiTheme="minorHAnsi" w:eastAsiaTheme="minorEastAsia" w:hAnsiTheme="minorHAnsi" w:cstheme="minorBidi"/>
            <w:b w:val="0"/>
            <w:caps w:val="0"/>
            <w:noProof/>
            <w:sz w:val="22"/>
            <w:szCs w:val="22"/>
            <w:lang w:eastAsia="en-IE"/>
          </w:rPr>
          <w:tab/>
        </w:r>
        <w:r w:rsidR="00C4416A" w:rsidRPr="00201208">
          <w:rPr>
            <w:rStyle w:val="Hyperlink"/>
            <w:noProof/>
          </w:rPr>
          <w:t>Investment Objective</w:t>
        </w:r>
        <w:r w:rsidR="00C4416A">
          <w:rPr>
            <w:noProof/>
            <w:webHidden/>
          </w:rPr>
          <w:tab/>
        </w:r>
        <w:r w:rsidR="00C4416A">
          <w:rPr>
            <w:noProof/>
            <w:webHidden/>
          </w:rPr>
          <w:fldChar w:fldCharType="begin"/>
        </w:r>
        <w:r w:rsidR="00C4416A">
          <w:rPr>
            <w:noProof/>
            <w:webHidden/>
          </w:rPr>
          <w:instrText xml:space="preserve"> PAGEREF _Toc10131006 \h </w:instrText>
        </w:r>
        <w:r w:rsidR="00C4416A">
          <w:rPr>
            <w:noProof/>
            <w:webHidden/>
          </w:rPr>
        </w:r>
        <w:r w:rsidR="00C4416A">
          <w:rPr>
            <w:noProof/>
            <w:webHidden/>
          </w:rPr>
          <w:fldChar w:fldCharType="separate"/>
        </w:r>
        <w:r w:rsidR="003A2A95">
          <w:rPr>
            <w:noProof/>
            <w:webHidden/>
          </w:rPr>
          <w:t>2</w:t>
        </w:r>
        <w:r w:rsidR="00C4416A">
          <w:rPr>
            <w:noProof/>
            <w:webHidden/>
          </w:rPr>
          <w:fldChar w:fldCharType="end"/>
        </w:r>
      </w:hyperlink>
    </w:p>
    <w:p w14:paraId="7F03DE23" w14:textId="78EC59C9" w:rsidR="00C4416A" w:rsidRDefault="007A0C0C">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1007" w:history="1">
        <w:r w:rsidR="00C4416A" w:rsidRPr="00201208">
          <w:rPr>
            <w:rStyle w:val="Hyperlink"/>
            <w:noProof/>
          </w:rPr>
          <w:t>2.</w:t>
        </w:r>
        <w:r w:rsidR="00C4416A">
          <w:rPr>
            <w:rFonts w:asciiTheme="minorHAnsi" w:eastAsiaTheme="minorEastAsia" w:hAnsiTheme="minorHAnsi" w:cstheme="minorBidi"/>
            <w:b w:val="0"/>
            <w:caps w:val="0"/>
            <w:noProof/>
            <w:sz w:val="22"/>
            <w:szCs w:val="22"/>
            <w:lang w:eastAsia="en-IE"/>
          </w:rPr>
          <w:tab/>
        </w:r>
        <w:r w:rsidR="00C4416A" w:rsidRPr="00201208">
          <w:rPr>
            <w:rStyle w:val="Hyperlink"/>
            <w:noProof/>
          </w:rPr>
          <w:t>Investment Policies</w:t>
        </w:r>
        <w:r w:rsidR="00C4416A">
          <w:rPr>
            <w:noProof/>
            <w:webHidden/>
          </w:rPr>
          <w:tab/>
        </w:r>
        <w:r w:rsidR="00C4416A">
          <w:rPr>
            <w:noProof/>
            <w:webHidden/>
          </w:rPr>
          <w:fldChar w:fldCharType="begin"/>
        </w:r>
        <w:r w:rsidR="00C4416A">
          <w:rPr>
            <w:noProof/>
            <w:webHidden/>
          </w:rPr>
          <w:instrText xml:space="preserve"> PAGEREF _Toc10131007 \h </w:instrText>
        </w:r>
        <w:r w:rsidR="00C4416A">
          <w:rPr>
            <w:noProof/>
            <w:webHidden/>
          </w:rPr>
        </w:r>
        <w:r w:rsidR="00C4416A">
          <w:rPr>
            <w:noProof/>
            <w:webHidden/>
          </w:rPr>
          <w:fldChar w:fldCharType="separate"/>
        </w:r>
        <w:r w:rsidR="003A2A95">
          <w:rPr>
            <w:noProof/>
            <w:webHidden/>
          </w:rPr>
          <w:t>2</w:t>
        </w:r>
        <w:r w:rsidR="00C4416A">
          <w:rPr>
            <w:noProof/>
            <w:webHidden/>
          </w:rPr>
          <w:fldChar w:fldCharType="end"/>
        </w:r>
      </w:hyperlink>
    </w:p>
    <w:p w14:paraId="526DD81B" w14:textId="36A36040" w:rsidR="00C4416A" w:rsidRDefault="007A0C0C">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1008" w:history="1">
        <w:r w:rsidR="00C4416A" w:rsidRPr="00201208">
          <w:rPr>
            <w:rStyle w:val="Hyperlink"/>
            <w:noProof/>
          </w:rPr>
          <w:t>3.</w:t>
        </w:r>
        <w:r w:rsidR="00C4416A">
          <w:rPr>
            <w:rFonts w:asciiTheme="minorHAnsi" w:eastAsiaTheme="minorEastAsia" w:hAnsiTheme="minorHAnsi" w:cstheme="minorBidi"/>
            <w:b w:val="0"/>
            <w:caps w:val="0"/>
            <w:noProof/>
            <w:sz w:val="22"/>
            <w:szCs w:val="22"/>
            <w:lang w:eastAsia="en-IE"/>
          </w:rPr>
          <w:tab/>
        </w:r>
        <w:r w:rsidR="00C4416A" w:rsidRPr="00201208">
          <w:rPr>
            <w:rStyle w:val="Hyperlink"/>
            <w:noProof/>
          </w:rPr>
          <w:t>Profile OF A Typical Investor</w:t>
        </w:r>
        <w:r w:rsidR="00C4416A">
          <w:rPr>
            <w:noProof/>
            <w:webHidden/>
          </w:rPr>
          <w:tab/>
        </w:r>
        <w:r w:rsidR="00C4416A">
          <w:rPr>
            <w:noProof/>
            <w:webHidden/>
          </w:rPr>
          <w:fldChar w:fldCharType="begin"/>
        </w:r>
        <w:r w:rsidR="00C4416A">
          <w:rPr>
            <w:noProof/>
            <w:webHidden/>
          </w:rPr>
          <w:instrText xml:space="preserve"> PAGEREF _Toc10131008 \h </w:instrText>
        </w:r>
        <w:r w:rsidR="00C4416A">
          <w:rPr>
            <w:noProof/>
            <w:webHidden/>
          </w:rPr>
        </w:r>
        <w:r w:rsidR="00C4416A">
          <w:rPr>
            <w:noProof/>
            <w:webHidden/>
          </w:rPr>
          <w:fldChar w:fldCharType="separate"/>
        </w:r>
        <w:r w:rsidR="003A2A95">
          <w:rPr>
            <w:noProof/>
            <w:webHidden/>
          </w:rPr>
          <w:t>3</w:t>
        </w:r>
        <w:r w:rsidR="00C4416A">
          <w:rPr>
            <w:noProof/>
            <w:webHidden/>
          </w:rPr>
          <w:fldChar w:fldCharType="end"/>
        </w:r>
      </w:hyperlink>
    </w:p>
    <w:p w14:paraId="5B085328" w14:textId="6A7458EA" w:rsidR="00C4416A" w:rsidRDefault="007A0C0C">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1009" w:history="1">
        <w:r w:rsidR="00C4416A" w:rsidRPr="00201208">
          <w:rPr>
            <w:rStyle w:val="Hyperlink"/>
            <w:noProof/>
          </w:rPr>
          <w:t>4.</w:t>
        </w:r>
        <w:r w:rsidR="00C4416A">
          <w:rPr>
            <w:rFonts w:asciiTheme="minorHAnsi" w:eastAsiaTheme="minorEastAsia" w:hAnsiTheme="minorHAnsi" w:cstheme="minorBidi"/>
            <w:b w:val="0"/>
            <w:caps w:val="0"/>
            <w:noProof/>
            <w:sz w:val="22"/>
            <w:szCs w:val="22"/>
            <w:lang w:eastAsia="en-IE"/>
          </w:rPr>
          <w:tab/>
        </w:r>
        <w:r w:rsidR="00C4416A" w:rsidRPr="00201208">
          <w:rPr>
            <w:rStyle w:val="Hyperlink"/>
            <w:noProof/>
          </w:rPr>
          <w:t>Investment Restrictions</w:t>
        </w:r>
        <w:r w:rsidR="00C4416A">
          <w:rPr>
            <w:noProof/>
            <w:webHidden/>
          </w:rPr>
          <w:tab/>
        </w:r>
        <w:r w:rsidR="00C4416A">
          <w:rPr>
            <w:noProof/>
            <w:webHidden/>
          </w:rPr>
          <w:fldChar w:fldCharType="begin"/>
        </w:r>
        <w:r w:rsidR="00C4416A">
          <w:rPr>
            <w:noProof/>
            <w:webHidden/>
          </w:rPr>
          <w:instrText xml:space="preserve"> PAGEREF _Toc10131009 \h </w:instrText>
        </w:r>
        <w:r w:rsidR="00C4416A">
          <w:rPr>
            <w:noProof/>
            <w:webHidden/>
          </w:rPr>
        </w:r>
        <w:r w:rsidR="00C4416A">
          <w:rPr>
            <w:noProof/>
            <w:webHidden/>
          </w:rPr>
          <w:fldChar w:fldCharType="separate"/>
        </w:r>
        <w:r w:rsidR="003A2A95">
          <w:rPr>
            <w:noProof/>
            <w:webHidden/>
          </w:rPr>
          <w:t>3</w:t>
        </w:r>
        <w:r w:rsidR="00C4416A">
          <w:rPr>
            <w:noProof/>
            <w:webHidden/>
          </w:rPr>
          <w:fldChar w:fldCharType="end"/>
        </w:r>
      </w:hyperlink>
    </w:p>
    <w:p w14:paraId="696B0D14" w14:textId="3DBEACAE" w:rsidR="00C4416A" w:rsidRDefault="007A0C0C">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1010" w:history="1">
        <w:r w:rsidR="00C4416A" w:rsidRPr="00201208">
          <w:rPr>
            <w:rStyle w:val="Hyperlink"/>
            <w:noProof/>
          </w:rPr>
          <w:t>5.</w:t>
        </w:r>
        <w:r w:rsidR="00C4416A">
          <w:rPr>
            <w:rFonts w:asciiTheme="minorHAnsi" w:eastAsiaTheme="minorEastAsia" w:hAnsiTheme="minorHAnsi" w:cstheme="minorBidi"/>
            <w:b w:val="0"/>
            <w:caps w:val="0"/>
            <w:noProof/>
            <w:sz w:val="22"/>
            <w:szCs w:val="22"/>
            <w:lang w:eastAsia="en-IE"/>
          </w:rPr>
          <w:tab/>
        </w:r>
        <w:r w:rsidR="00C4416A" w:rsidRPr="00201208">
          <w:rPr>
            <w:rStyle w:val="Hyperlink"/>
            <w:noProof/>
          </w:rPr>
          <w:t>Borrowing</w:t>
        </w:r>
        <w:r w:rsidR="00C4416A">
          <w:rPr>
            <w:noProof/>
            <w:webHidden/>
          </w:rPr>
          <w:tab/>
        </w:r>
        <w:r w:rsidR="00C4416A">
          <w:rPr>
            <w:noProof/>
            <w:webHidden/>
          </w:rPr>
          <w:fldChar w:fldCharType="begin"/>
        </w:r>
        <w:r w:rsidR="00C4416A">
          <w:rPr>
            <w:noProof/>
            <w:webHidden/>
          </w:rPr>
          <w:instrText xml:space="preserve"> PAGEREF _Toc10131010 \h </w:instrText>
        </w:r>
        <w:r w:rsidR="00C4416A">
          <w:rPr>
            <w:noProof/>
            <w:webHidden/>
          </w:rPr>
        </w:r>
        <w:r w:rsidR="00C4416A">
          <w:rPr>
            <w:noProof/>
            <w:webHidden/>
          </w:rPr>
          <w:fldChar w:fldCharType="separate"/>
        </w:r>
        <w:r w:rsidR="003A2A95">
          <w:rPr>
            <w:noProof/>
            <w:webHidden/>
          </w:rPr>
          <w:t>3</w:t>
        </w:r>
        <w:r w:rsidR="00C4416A">
          <w:rPr>
            <w:noProof/>
            <w:webHidden/>
          </w:rPr>
          <w:fldChar w:fldCharType="end"/>
        </w:r>
      </w:hyperlink>
    </w:p>
    <w:p w14:paraId="4AE1B984" w14:textId="5467FA01" w:rsidR="00C4416A" w:rsidRDefault="007A0C0C">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1011" w:history="1">
        <w:r w:rsidR="00C4416A" w:rsidRPr="00201208">
          <w:rPr>
            <w:rStyle w:val="Hyperlink"/>
            <w:noProof/>
          </w:rPr>
          <w:t>6.</w:t>
        </w:r>
        <w:r w:rsidR="00C4416A">
          <w:rPr>
            <w:rFonts w:asciiTheme="minorHAnsi" w:eastAsiaTheme="minorEastAsia" w:hAnsiTheme="minorHAnsi" w:cstheme="minorBidi"/>
            <w:b w:val="0"/>
            <w:caps w:val="0"/>
            <w:noProof/>
            <w:sz w:val="22"/>
            <w:szCs w:val="22"/>
            <w:lang w:eastAsia="en-IE"/>
          </w:rPr>
          <w:tab/>
        </w:r>
        <w:r w:rsidR="00C4416A" w:rsidRPr="00201208">
          <w:rPr>
            <w:rStyle w:val="Hyperlink"/>
            <w:noProof/>
          </w:rPr>
          <w:t>Risk Factors</w:t>
        </w:r>
        <w:r w:rsidR="00C4416A">
          <w:rPr>
            <w:noProof/>
            <w:webHidden/>
          </w:rPr>
          <w:tab/>
        </w:r>
        <w:r w:rsidR="00C4416A">
          <w:rPr>
            <w:noProof/>
            <w:webHidden/>
          </w:rPr>
          <w:fldChar w:fldCharType="begin"/>
        </w:r>
        <w:r w:rsidR="00C4416A">
          <w:rPr>
            <w:noProof/>
            <w:webHidden/>
          </w:rPr>
          <w:instrText xml:space="preserve"> PAGEREF _Toc10131011 \h </w:instrText>
        </w:r>
        <w:r w:rsidR="00C4416A">
          <w:rPr>
            <w:noProof/>
            <w:webHidden/>
          </w:rPr>
        </w:r>
        <w:r w:rsidR="00C4416A">
          <w:rPr>
            <w:noProof/>
            <w:webHidden/>
          </w:rPr>
          <w:fldChar w:fldCharType="separate"/>
        </w:r>
        <w:r w:rsidR="003A2A95">
          <w:rPr>
            <w:noProof/>
            <w:webHidden/>
          </w:rPr>
          <w:t>3</w:t>
        </w:r>
        <w:r w:rsidR="00C4416A">
          <w:rPr>
            <w:noProof/>
            <w:webHidden/>
          </w:rPr>
          <w:fldChar w:fldCharType="end"/>
        </w:r>
      </w:hyperlink>
    </w:p>
    <w:p w14:paraId="5096E374" w14:textId="6D30B8FB" w:rsidR="00C4416A" w:rsidRDefault="007A0C0C">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1012" w:history="1">
        <w:r w:rsidR="00C4416A" w:rsidRPr="00201208">
          <w:rPr>
            <w:rStyle w:val="Hyperlink"/>
            <w:noProof/>
          </w:rPr>
          <w:t>7.</w:t>
        </w:r>
        <w:r w:rsidR="00C4416A">
          <w:rPr>
            <w:rFonts w:asciiTheme="minorHAnsi" w:eastAsiaTheme="minorEastAsia" w:hAnsiTheme="minorHAnsi" w:cstheme="minorBidi"/>
            <w:b w:val="0"/>
            <w:caps w:val="0"/>
            <w:noProof/>
            <w:sz w:val="22"/>
            <w:szCs w:val="22"/>
            <w:lang w:eastAsia="en-IE"/>
          </w:rPr>
          <w:tab/>
        </w:r>
        <w:r w:rsidR="00C4416A" w:rsidRPr="00201208">
          <w:rPr>
            <w:rStyle w:val="Hyperlink"/>
            <w:noProof/>
          </w:rPr>
          <w:t>Investment MANAGER</w:t>
        </w:r>
        <w:r w:rsidR="00C4416A">
          <w:rPr>
            <w:noProof/>
            <w:webHidden/>
          </w:rPr>
          <w:tab/>
        </w:r>
        <w:r w:rsidR="00C4416A">
          <w:rPr>
            <w:noProof/>
            <w:webHidden/>
          </w:rPr>
          <w:fldChar w:fldCharType="begin"/>
        </w:r>
        <w:r w:rsidR="00C4416A">
          <w:rPr>
            <w:noProof/>
            <w:webHidden/>
          </w:rPr>
          <w:instrText xml:space="preserve"> PAGEREF _Toc10131012 \h </w:instrText>
        </w:r>
        <w:r w:rsidR="00C4416A">
          <w:rPr>
            <w:noProof/>
            <w:webHidden/>
          </w:rPr>
        </w:r>
        <w:r w:rsidR="00C4416A">
          <w:rPr>
            <w:noProof/>
            <w:webHidden/>
          </w:rPr>
          <w:fldChar w:fldCharType="separate"/>
        </w:r>
        <w:r w:rsidR="003A2A95">
          <w:rPr>
            <w:noProof/>
            <w:webHidden/>
          </w:rPr>
          <w:t>3</w:t>
        </w:r>
        <w:r w:rsidR="00C4416A">
          <w:rPr>
            <w:noProof/>
            <w:webHidden/>
          </w:rPr>
          <w:fldChar w:fldCharType="end"/>
        </w:r>
      </w:hyperlink>
    </w:p>
    <w:p w14:paraId="47A0C590" w14:textId="7938DC0E" w:rsidR="00C4416A" w:rsidRDefault="007A0C0C">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1013" w:history="1">
        <w:r w:rsidR="00C4416A" w:rsidRPr="00201208">
          <w:rPr>
            <w:rStyle w:val="Hyperlink"/>
            <w:noProof/>
          </w:rPr>
          <w:t>8.</w:t>
        </w:r>
        <w:r w:rsidR="00C4416A">
          <w:rPr>
            <w:rFonts w:asciiTheme="minorHAnsi" w:eastAsiaTheme="minorEastAsia" w:hAnsiTheme="minorHAnsi" w:cstheme="minorBidi"/>
            <w:b w:val="0"/>
            <w:caps w:val="0"/>
            <w:noProof/>
            <w:sz w:val="22"/>
            <w:szCs w:val="22"/>
            <w:lang w:eastAsia="en-IE"/>
          </w:rPr>
          <w:tab/>
        </w:r>
        <w:r w:rsidR="00C4416A" w:rsidRPr="00201208">
          <w:rPr>
            <w:rStyle w:val="Hyperlink"/>
            <w:noProof/>
          </w:rPr>
          <w:t>KEy information for subscriptions and redemptions</w:t>
        </w:r>
        <w:r w:rsidR="00C4416A">
          <w:rPr>
            <w:noProof/>
            <w:webHidden/>
          </w:rPr>
          <w:tab/>
        </w:r>
        <w:r w:rsidR="00C4416A">
          <w:rPr>
            <w:noProof/>
            <w:webHidden/>
          </w:rPr>
          <w:fldChar w:fldCharType="begin"/>
        </w:r>
        <w:r w:rsidR="00C4416A">
          <w:rPr>
            <w:noProof/>
            <w:webHidden/>
          </w:rPr>
          <w:instrText xml:space="preserve"> PAGEREF _Toc10131013 \h </w:instrText>
        </w:r>
        <w:r w:rsidR="00C4416A">
          <w:rPr>
            <w:noProof/>
            <w:webHidden/>
          </w:rPr>
        </w:r>
        <w:r w:rsidR="00C4416A">
          <w:rPr>
            <w:noProof/>
            <w:webHidden/>
          </w:rPr>
          <w:fldChar w:fldCharType="separate"/>
        </w:r>
        <w:r w:rsidR="003A2A95">
          <w:rPr>
            <w:noProof/>
            <w:webHidden/>
          </w:rPr>
          <w:t>3</w:t>
        </w:r>
        <w:r w:rsidR="00C4416A">
          <w:rPr>
            <w:noProof/>
            <w:webHidden/>
          </w:rPr>
          <w:fldChar w:fldCharType="end"/>
        </w:r>
      </w:hyperlink>
    </w:p>
    <w:p w14:paraId="7DC7F8C7" w14:textId="75A90FA4" w:rsidR="00C4416A" w:rsidRDefault="007A0C0C">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1014" w:history="1">
        <w:r w:rsidR="00C4416A" w:rsidRPr="00201208">
          <w:rPr>
            <w:rStyle w:val="Hyperlink"/>
            <w:noProof/>
          </w:rPr>
          <w:t>9.</w:t>
        </w:r>
        <w:r w:rsidR="00C4416A">
          <w:rPr>
            <w:rFonts w:asciiTheme="minorHAnsi" w:eastAsiaTheme="minorEastAsia" w:hAnsiTheme="minorHAnsi" w:cstheme="minorBidi"/>
            <w:b w:val="0"/>
            <w:caps w:val="0"/>
            <w:noProof/>
            <w:sz w:val="22"/>
            <w:szCs w:val="22"/>
            <w:lang w:eastAsia="en-IE"/>
          </w:rPr>
          <w:tab/>
        </w:r>
        <w:r w:rsidR="00C4416A" w:rsidRPr="00201208">
          <w:rPr>
            <w:rStyle w:val="Hyperlink"/>
            <w:noProof/>
          </w:rPr>
          <w:t>Charges AND Expenses</w:t>
        </w:r>
        <w:r w:rsidR="00C4416A">
          <w:rPr>
            <w:noProof/>
            <w:webHidden/>
          </w:rPr>
          <w:tab/>
        </w:r>
        <w:r w:rsidR="00C4416A">
          <w:rPr>
            <w:noProof/>
            <w:webHidden/>
          </w:rPr>
          <w:fldChar w:fldCharType="begin"/>
        </w:r>
        <w:r w:rsidR="00C4416A">
          <w:rPr>
            <w:noProof/>
            <w:webHidden/>
          </w:rPr>
          <w:instrText xml:space="preserve"> PAGEREF _Toc10131014 \h </w:instrText>
        </w:r>
        <w:r w:rsidR="00C4416A">
          <w:rPr>
            <w:noProof/>
            <w:webHidden/>
          </w:rPr>
        </w:r>
        <w:r w:rsidR="00C4416A">
          <w:rPr>
            <w:noProof/>
            <w:webHidden/>
          </w:rPr>
          <w:fldChar w:fldCharType="separate"/>
        </w:r>
        <w:r w:rsidR="003A2A95">
          <w:rPr>
            <w:noProof/>
            <w:webHidden/>
          </w:rPr>
          <w:t>5</w:t>
        </w:r>
        <w:r w:rsidR="00C4416A">
          <w:rPr>
            <w:noProof/>
            <w:webHidden/>
          </w:rPr>
          <w:fldChar w:fldCharType="end"/>
        </w:r>
      </w:hyperlink>
    </w:p>
    <w:p w14:paraId="7B9FF7D4" w14:textId="6A70C6A5" w:rsidR="00C4416A" w:rsidRDefault="007A0C0C">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1015" w:history="1">
        <w:r w:rsidR="00C4416A" w:rsidRPr="00201208">
          <w:rPr>
            <w:rStyle w:val="Hyperlink"/>
            <w:noProof/>
          </w:rPr>
          <w:t>10.</w:t>
        </w:r>
        <w:r w:rsidR="00C4416A">
          <w:rPr>
            <w:rFonts w:asciiTheme="minorHAnsi" w:eastAsiaTheme="minorEastAsia" w:hAnsiTheme="minorHAnsi" w:cstheme="minorBidi"/>
            <w:b w:val="0"/>
            <w:caps w:val="0"/>
            <w:noProof/>
            <w:sz w:val="22"/>
            <w:szCs w:val="22"/>
            <w:lang w:eastAsia="en-IE"/>
          </w:rPr>
          <w:tab/>
        </w:r>
        <w:r w:rsidR="00C4416A" w:rsidRPr="00201208">
          <w:rPr>
            <w:rStyle w:val="Hyperlink"/>
            <w:noProof/>
          </w:rPr>
          <w:t>Dividend Policy</w:t>
        </w:r>
        <w:r w:rsidR="00C4416A">
          <w:rPr>
            <w:noProof/>
            <w:webHidden/>
          </w:rPr>
          <w:tab/>
        </w:r>
        <w:r w:rsidR="00C4416A">
          <w:rPr>
            <w:noProof/>
            <w:webHidden/>
          </w:rPr>
          <w:fldChar w:fldCharType="begin"/>
        </w:r>
        <w:r w:rsidR="00C4416A">
          <w:rPr>
            <w:noProof/>
            <w:webHidden/>
          </w:rPr>
          <w:instrText xml:space="preserve"> PAGEREF _Toc10131015 \h </w:instrText>
        </w:r>
        <w:r w:rsidR="00C4416A">
          <w:rPr>
            <w:noProof/>
            <w:webHidden/>
          </w:rPr>
        </w:r>
        <w:r w:rsidR="00C4416A">
          <w:rPr>
            <w:noProof/>
            <w:webHidden/>
          </w:rPr>
          <w:fldChar w:fldCharType="separate"/>
        </w:r>
        <w:r w:rsidR="003A2A95">
          <w:rPr>
            <w:noProof/>
            <w:webHidden/>
          </w:rPr>
          <w:t>6</w:t>
        </w:r>
        <w:r w:rsidR="00C4416A">
          <w:rPr>
            <w:noProof/>
            <w:webHidden/>
          </w:rPr>
          <w:fldChar w:fldCharType="end"/>
        </w:r>
      </w:hyperlink>
    </w:p>
    <w:p w14:paraId="42F384DD" w14:textId="1E6778C6" w:rsidR="00C4416A" w:rsidRDefault="007A0C0C">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1016" w:history="1">
        <w:r w:rsidR="00C4416A" w:rsidRPr="00201208">
          <w:rPr>
            <w:rStyle w:val="Hyperlink"/>
            <w:noProof/>
          </w:rPr>
          <w:t>11.</w:t>
        </w:r>
        <w:r w:rsidR="00C4416A">
          <w:rPr>
            <w:rFonts w:asciiTheme="minorHAnsi" w:eastAsiaTheme="minorEastAsia" w:hAnsiTheme="minorHAnsi" w:cstheme="minorBidi"/>
            <w:b w:val="0"/>
            <w:caps w:val="0"/>
            <w:noProof/>
            <w:sz w:val="22"/>
            <w:szCs w:val="22"/>
            <w:lang w:eastAsia="en-IE"/>
          </w:rPr>
          <w:tab/>
        </w:r>
        <w:r w:rsidR="00C4416A" w:rsidRPr="00201208">
          <w:rPr>
            <w:rStyle w:val="Hyperlink"/>
            <w:noProof/>
          </w:rPr>
          <w:t>Subscription FOR Shares</w:t>
        </w:r>
        <w:r w:rsidR="00C4416A">
          <w:rPr>
            <w:noProof/>
            <w:webHidden/>
          </w:rPr>
          <w:tab/>
        </w:r>
        <w:r w:rsidR="00C4416A">
          <w:rPr>
            <w:noProof/>
            <w:webHidden/>
          </w:rPr>
          <w:fldChar w:fldCharType="begin"/>
        </w:r>
        <w:r w:rsidR="00C4416A">
          <w:rPr>
            <w:noProof/>
            <w:webHidden/>
          </w:rPr>
          <w:instrText xml:space="preserve"> PAGEREF _Toc10131016 \h </w:instrText>
        </w:r>
        <w:r w:rsidR="00C4416A">
          <w:rPr>
            <w:noProof/>
            <w:webHidden/>
          </w:rPr>
        </w:r>
        <w:r w:rsidR="00C4416A">
          <w:rPr>
            <w:noProof/>
            <w:webHidden/>
          </w:rPr>
          <w:fldChar w:fldCharType="separate"/>
        </w:r>
        <w:r w:rsidR="003A2A95">
          <w:rPr>
            <w:noProof/>
            <w:webHidden/>
          </w:rPr>
          <w:t>6</w:t>
        </w:r>
        <w:r w:rsidR="00C4416A">
          <w:rPr>
            <w:noProof/>
            <w:webHidden/>
          </w:rPr>
          <w:fldChar w:fldCharType="end"/>
        </w:r>
      </w:hyperlink>
    </w:p>
    <w:p w14:paraId="133CEE13" w14:textId="1041CD81" w:rsidR="00C4416A" w:rsidRDefault="007A0C0C">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1017" w:history="1">
        <w:r w:rsidR="00C4416A" w:rsidRPr="00201208">
          <w:rPr>
            <w:rStyle w:val="Hyperlink"/>
            <w:noProof/>
          </w:rPr>
          <w:t>12.</w:t>
        </w:r>
        <w:r w:rsidR="00C4416A">
          <w:rPr>
            <w:rFonts w:asciiTheme="minorHAnsi" w:eastAsiaTheme="minorEastAsia" w:hAnsiTheme="minorHAnsi" w:cstheme="minorBidi"/>
            <w:b w:val="0"/>
            <w:caps w:val="0"/>
            <w:noProof/>
            <w:sz w:val="22"/>
            <w:szCs w:val="22"/>
            <w:lang w:eastAsia="en-IE"/>
          </w:rPr>
          <w:tab/>
        </w:r>
        <w:r w:rsidR="00C4416A" w:rsidRPr="00201208">
          <w:rPr>
            <w:rStyle w:val="Hyperlink"/>
            <w:noProof/>
          </w:rPr>
          <w:t>Redemption OF Shares</w:t>
        </w:r>
        <w:r w:rsidR="00C4416A">
          <w:rPr>
            <w:noProof/>
            <w:webHidden/>
          </w:rPr>
          <w:tab/>
        </w:r>
        <w:r w:rsidR="00C4416A">
          <w:rPr>
            <w:noProof/>
            <w:webHidden/>
          </w:rPr>
          <w:fldChar w:fldCharType="begin"/>
        </w:r>
        <w:r w:rsidR="00C4416A">
          <w:rPr>
            <w:noProof/>
            <w:webHidden/>
          </w:rPr>
          <w:instrText xml:space="preserve"> PAGEREF _Toc10131017 \h </w:instrText>
        </w:r>
        <w:r w:rsidR="00C4416A">
          <w:rPr>
            <w:noProof/>
            <w:webHidden/>
          </w:rPr>
        </w:r>
        <w:r w:rsidR="00C4416A">
          <w:rPr>
            <w:noProof/>
            <w:webHidden/>
          </w:rPr>
          <w:fldChar w:fldCharType="separate"/>
        </w:r>
        <w:r w:rsidR="003A2A95">
          <w:rPr>
            <w:noProof/>
            <w:webHidden/>
          </w:rPr>
          <w:t>6</w:t>
        </w:r>
        <w:r w:rsidR="00C4416A">
          <w:rPr>
            <w:noProof/>
            <w:webHidden/>
          </w:rPr>
          <w:fldChar w:fldCharType="end"/>
        </w:r>
      </w:hyperlink>
    </w:p>
    <w:p w14:paraId="238615F0" w14:textId="054E287D" w:rsidR="00C4416A" w:rsidRDefault="007A0C0C">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1018" w:history="1">
        <w:r w:rsidR="00C4416A" w:rsidRPr="00201208">
          <w:rPr>
            <w:rStyle w:val="Hyperlink"/>
            <w:noProof/>
          </w:rPr>
          <w:t>13.</w:t>
        </w:r>
        <w:r w:rsidR="00C4416A">
          <w:rPr>
            <w:rFonts w:asciiTheme="minorHAnsi" w:eastAsiaTheme="minorEastAsia" w:hAnsiTheme="minorHAnsi" w:cstheme="minorBidi"/>
            <w:b w:val="0"/>
            <w:caps w:val="0"/>
            <w:noProof/>
            <w:sz w:val="22"/>
            <w:szCs w:val="22"/>
            <w:lang w:eastAsia="en-IE"/>
          </w:rPr>
          <w:tab/>
        </w:r>
        <w:r w:rsidR="00C4416A" w:rsidRPr="00201208">
          <w:rPr>
            <w:rStyle w:val="Hyperlink"/>
            <w:noProof/>
          </w:rPr>
          <w:t>Exchange OF Shares</w:t>
        </w:r>
        <w:r w:rsidR="00C4416A">
          <w:rPr>
            <w:noProof/>
            <w:webHidden/>
          </w:rPr>
          <w:tab/>
        </w:r>
        <w:r w:rsidR="00C4416A">
          <w:rPr>
            <w:noProof/>
            <w:webHidden/>
          </w:rPr>
          <w:fldChar w:fldCharType="begin"/>
        </w:r>
        <w:r w:rsidR="00C4416A">
          <w:rPr>
            <w:noProof/>
            <w:webHidden/>
          </w:rPr>
          <w:instrText xml:space="preserve"> PAGEREF _Toc10131018 \h </w:instrText>
        </w:r>
        <w:r w:rsidR="00C4416A">
          <w:rPr>
            <w:noProof/>
            <w:webHidden/>
          </w:rPr>
        </w:r>
        <w:r w:rsidR="00C4416A">
          <w:rPr>
            <w:noProof/>
            <w:webHidden/>
          </w:rPr>
          <w:fldChar w:fldCharType="separate"/>
        </w:r>
        <w:r w:rsidR="003A2A95">
          <w:rPr>
            <w:noProof/>
            <w:webHidden/>
          </w:rPr>
          <w:t>7</w:t>
        </w:r>
        <w:r w:rsidR="00C4416A">
          <w:rPr>
            <w:noProof/>
            <w:webHidden/>
          </w:rPr>
          <w:fldChar w:fldCharType="end"/>
        </w:r>
      </w:hyperlink>
    </w:p>
    <w:p w14:paraId="6A045327" w14:textId="5318B390" w:rsidR="00C4416A" w:rsidRDefault="007A0C0C">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1019" w:history="1">
        <w:r w:rsidR="00C4416A" w:rsidRPr="00201208">
          <w:rPr>
            <w:rStyle w:val="Hyperlink"/>
            <w:noProof/>
          </w:rPr>
          <w:t>14.</w:t>
        </w:r>
        <w:r w:rsidR="00C4416A">
          <w:rPr>
            <w:rFonts w:asciiTheme="minorHAnsi" w:eastAsiaTheme="minorEastAsia" w:hAnsiTheme="minorHAnsi" w:cstheme="minorBidi"/>
            <w:b w:val="0"/>
            <w:caps w:val="0"/>
            <w:noProof/>
            <w:sz w:val="22"/>
            <w:szCs w:val="22"/>
            <w:lang w:eastAsia="en-IE"/>
          </w:rPr>
          <w:tab/>
        </w:r>
        <w:r w:rsidR="00C4416A" w:rsidRPr="00201208">
          <w:rPr>
            <w:rStyle w:val="Hyperlink"/>
            <w:noProof/>
          </w:rPr>
          <w:t>Miscellaneous</w:t>
        </w:r>
        <w:r w:rsidR="00C4416A">
          <w:rPr>
            <w:noProof/>
            <w:webHidden/>
          </w:rPr>
          <w:tab/>
        </w:r>
        <w:r w:rsidR="00C4416A">
          <w:rPr>
            <w:noProof/>
            <w:webHidden/>
          </w:rPr>
          <w:fldChar w:fldCharType="begin"/>
        </w:r>
        <w:r w:rsidR="00C4416A">
          <w:rPr>
            <w:noProof/>
            <w:webHidden/>
          </w:rPr>
          <w:instrText xml:space="preserve"> PAGEREF _Toc10131019 \h </w:instrText>
        </w:r>
        <w:r w:rsidR="00C4416A">
          <w:rPr>
            <w:noProof/>
            <w:webHidden/>
          </w:rPr>
        </w:r>
        <w:r w:rsidR="00C4416A">
          <w:rPr>
            <w:noProof/>
            <w:webHidden/>
          </w:rPr>
          <w:fldChar w:fldCharType="separate"/>
        </w:r>
        <w:r w:rsidR="003A2A95">
          <w:rPr>
            <w:noProof/>
            <w:webHidden/>
          </w:rPr>
          <w:t>7</w:t>
        </w:r>
        <w:r w:rsidR="00C4416A">
          <w:rPr>
            <w:noProof/>
            <w:webHidden/>
          </w:rPr>
          <w:fldChar w:fldCharType="end"/>
        </w:r>
      </w:hyperlink>
    </w:p>
    <w:p w14:paraId="42F6FD7F" w14:textId="77777777" w:rsidR="00E15F9F" w:rsidRPr="00E15F9F" w:rsidRDefault="00E15F9F" w:rsidP="00E15F9F">
      <w:pPr>
        <w:spacing w:after="240" w:line="240" w:lineRule="atLeast"/>
        <w:rPr>
          <w:rFonts w:cs="Arial"/>
        </w:rPr>
      </w:pPr>
      <w:r w:rsidRPr="00E15F9F">
        <w:rPr>
          <w:rFonts w:cs="Arial"/>
        </w:rPr>
        <w:fldChar w:fldCharType="end"/>
      </w:r>
    </w:p>
    <w:p w14:paraId="1867D46B" w14:textId="77777777" w:rsidR="00E15F9F" w:rsidRPr="00E15F9F" w:rsidRDefault="00E15F9F" w:rsidP="00E15F9F">
      <w:pPr>
        <w:widowControl/>
        <w:spacing w:before="0" w:line="240" w:lineRule="auto"/>
        <w:jc w:val="left"/>
        <w:rPr>
          <w:rFonts w:cs="Arial"/>
        </w:rPr>
      </w:pPr>
      <w:r w:rsidRPr="00E15F9F">
        <w:rPr>
          <w:rFonts w:cs="Arial"/>
        </w:rPr>
        <w:br w:type="page"/>
      </w:r>
    </w:p>
    <w:p w14:paraId="624CDA32" w14:textId="27B4F66B" w:rsidR="00E15F9F" w:rsidRPr="00E15F9F" w:rsidRDefault="00E15F9F" w:rsidP="00E15F9F">
      <w:pPr>
        <w:pStyle w:val="Heading1"/>
        <w:numPr>
          <w:ilvl w:val="0"/>
          <w:numId w:val="17"/>
        </w:numPr>
      </w:pPr>
      <w:bookmarkStart w:id="0" w:name="_Toc10131006"/>
      <w:r w:rsidRPr="00E15F9F">
        <w:lastRenderedPageBreak/>
        <w:t>Investment Objective</w:t>
      </w:r>
      <w:bookmarkEnd w:id="0"/>
    </w:p>
    <w:p w14:paraId="395B9B63" w14:textId="7202A574" w:rsidR="00E15F9F" w:rsidRPr="00E15F9F" w:rsidRDefault="00E15F9F" w:rsidP="00BA7B86">
      <w:pPr>
        <w:autoSpaceDE w:val="0"/>
        <w:autoSpaceDN w:val="0"/>
        <w:adjustRightInd w:val="0"/>
        <w:spacing w:line="240" w:lineRule="auto"/>
        <w:rPr>
          <w:rFonts w:cs="Arial"/>
        </w:rPr>
      </w:pPr>
      <w:r w:rsidRPr="00E15F9F">
        <w:rPr>
          <w:rFonts w:cs="Arial"/>
        </w:rPr>
        <w:t xml:space="preserve">The Sub-Fund aims to generate capital growth over the longer term and will experience potentially frequent and higher levels of volatility as a result of strong exposure to equity related investments.  </w:t>
      </w:r>
    </w:p>
    <w:p w14:paraId="0A64FC09" w14:textId="77777777" w:rsidR="00E15F9F" w:rsidRPr="00E15F9F" w:rsidRDefault="00E15F9F" w:rsidP="00E15F9F">
      <w:pPr>
        <w:pStyle w:val="Heading1"/>
        <w:numPr>
          <w:ilvl w:val="0"/>
          <w:numId w:val="17"/>
        </w:numPr>
      </w:pPr>
      <w:bookmarkStart w:id="1" w:name="_Toc10131007"/>
      <w:r w:rsidRPr="00E15F9F">
        <w:t>Investment Policies</w:t>
      </w:r>
      <w:bookmarkEnd w:id="1"/>
    </w:p>
    <w:p w14:paraId="5F259B4B" w14:textId="77777777" w:rsidR="009E27FB" w:rsidRDefault="009E27FB" w:rsidP="00BA7B86">
      <w:pPr>
        <w:pStyle w:val="Pa0"/>
        <w:spacing w:after="40"/>
        <w:jc w:val="both"/>
        <w:rPr>
          <w:rFonts w:ascii="Arial" w:eastAsia="Times New Roman" w:hAnsi="Arial" w:cs="Arial"/>
          <w:sz w:val="20"/>
          <w:szCs w:val="20"/>
          <w:lang w:val="en-IE"/>
        </w:rPr>
      </w:pPr>
    </w:p>
    <w:p w14:paraId="40C364A9" w14:textId="0764CAD9" w:rsidR="00E15F9F" w:rsidRDefault="00E15F9F" w:rsidP="00BA7B86">
      <w:pPr>
        <w:pStyle w:val="Pa0"/>
        <w:spacing w:after="40"/>
        <w:jc w:val="both"/>
        <w:rPr>
          <w:rFonts w:ascii="Arial" w:eastAsia="Times New Roman" w:hAnsi="Arial" w:cs="Arial"/>
          <w:sz w:val="20"/>
          <w:szCs w:val="20"/>
          <w:lang w:val="en-IE"/>
        </w:rPr>
      </w:pPr>
      <w:r w:rsidRPr="00E15F9F">
        <w:rPr>
          <w:rFonts w:ascii="Arial" w:eastAsia="Times New Roman" w:hAnsi="Arial" w:cs="Arial"/>
          <w:sz w:val="20"/>
          <w:szCs w:val="20"/>
          <w:lang w:val="en-IE"/>
        </w:rPr>
        <w:t xml:space="preserve">The Sub-Fund will seek to achieve its investment objective through investing in a wide range of </w:t>
      </w:r>
      <w:r w:rsidR="00F43AE7">
        <w:rPr>
          <w:rFonts w:ascii="Arial" w:eastAsia="Times New Roman" w:hAnsi="Arial" w:cs="Arial"/>
          <w:sz w:val="20"/>
          <w:szCs w:val="20"/>
          <w:lang w:val="en-IE"/>
        </w:rPr>
        <w:t xml:space="preserve">global </w:t>
      </w:r>
      <w:r w:rsidRPr="00E15F9F">
        <w:rPr>
          <w:rFonts w:ascii="Arial" w:eastAsia="Times New Roman" w:hAnsi="Arial" w:cs="Arial"/>
          <w:sz w:val="20"/>
          <w:szCs w:val="20"/>
          <w:lang w:val="en-IE"/>
        </w:rPr>
        <w:t xml:space="preserve">diversified </w:t>
      </w:r>
      <w:r w:rsidR="00FF52C0">
        <w:rPr>
          <w:rFonts w:ascii="Arial" w:eastAsia="Times New Roman" w:hAnsi="Arial" w:cs="Arial"/>
          <w:sz w:val="20"/>
          <w:szCs w:val="20"/>
          <w:lang w:val="en-IE"/>
        </w:rPr>
        <w:t xml:space="preserve">collective </w:t>
      </w:r>
      <w:r w:rsidR="00FF52C0" w:rsidRPr="004634F9">
        <w:rPr>
          <w:rFonts w:ascii="Arial" w:eastAsia="Times New Roman" w:hAnsi="Arial" w:cs="Arial"/>
          <w:sz w:val="20"/>
          <w:szCs w:val="20"/>
          <w:lang w:val="en-IE"/>
        </w:rPr>
        <w:t xml:space="preserve">investment </w:t>
      </w:r>
      <w:r w:rsidR="00FF52C0">
        <w:rPr>
          <w:rFonts w:ascii="Arial" w:eastAsia="Times New Roman" w:hAnsi="Arial" w:cs="Arial"/>
          <w:sz w:val="20"/>
          <w:szCs w:val="20"/>
          <w:lang w:val="en-IE"/>
        </w:rPr>
        <w:t>schemes</w:t>
      </w:r>
      <w:r w:rsidR="00FF52C0" w:rsidRPr="004634F9">
        <w:rPr>
          <w:rFonts w:ascii="Arial" w:eastAsia="Times New Roman" w:hAnsi="Arial" w:cs="Arial"/>
          <w:sz w:val="20"/>
          <w:szCs w:val="20"/>
          <w:lang w:val="en-IE"/>
        </w:rPr>
        <w:t xml:space="preserve"> </w:t>
      </w:r>
      <w:r w:rsidRPr="00E15F9F">
        <w:rPr>
          <w:rFonts w:ascii="Arial" w:eastAsia="Times New Roman" w:hAnsi="Arial" w:cs="Arial"/>
          <w:sz w:val="20"/>
          <w:szCs w:val="20"/>
          <w:lang w:val="en-IE"/>
        </w:rPr>
        <w:t>including unit trusts, mutual funds, UCITS and exchange traded funds (</w:t>
      </w:r>
      <w:r w:rsidRPr="00BA7B86">
        <w:rPr>
          <w:rFonts w:ascii="Arial" w:eastAsia="Times New Roman" w:hAnsi="Arial" w:cs="Arial"/>
          <w:b/>
          <w:sz w:val="20"/>
          <w:szCs w:val="20"/>
          <w:lang w:val="en-IE"/>
        </w:rPr>
        <w:t>ETFs</w:t>
      </w:r>
      <w:r w:rsidRPr="00E15F9F">
        <w:rPr>
          <w:rFonts w:ascii="Arial" w:eastAsia="Times New Roman" w:hAnsi="Arial" w:cs="Arial"/>
          <w:sz w:val="20"/>
          <w:szCs w:val="20"/>
          <w:lang w:val="en-IE"/>
        </w:rPr>
        <w:t xml:space="preserve">), whose managers aim to outperform their respective markets. </w:t>
      </w:r>
      <w:r w:rsidR="005630C9" w:rsidRPr="00177493">
        <w:rPr>
          <w:rFonts w:ascii="Arial" w:eastAsia="Times New Roman" w:hAnsi="Arial" w:cs="Arial"/>
          <w:sz w:val="20"/>
          <w:szCs w:val="20"/>
          <w:lang w:val="en-IE"/>
        </w:rPr>
        <w:t>Asset class allocation in this portfolio are government bonds, corporate bonds, equi</w:t>
      </w:r>
      <w:r w:rsidR="005630C9">
        <w:rPr>
          <w:rFonts w:ascii="Arial" w:eastAsia="Times New Roman" w:hAnsi="Arial" w:cs="Arial"/>
          <w:sz w:val="20"/>
          <w:szCs w:val="20"/>
          <w:lang w:val="en-IE"/>
        </w:rPr>
        <w:t xml:space="preserve">ties and cash. Absolute return </w:t>
      </w:r>
      <w:r w:rsidR="007C4595">
        <w:rPr>
          <w:rFonts w:ascii="Arial" w:eastAsia="Times New Roman" w:hAnsi="Arial" w:cs="Arial"/>
          <w:sz w:val="20"/>
          <w:szCs w:val="20"/>
          <w:lang w:val="en-IE"/>
        </w:rPr>
        <w:t>funds</w:t>
      </w:r>
      <w:r w:rsidRPr="00E15F9F">
        <w:rPr>
          <w:rFonts w:ascii="Arial" w:eastAsia="Times New Roman" w:hAnsi="Arial" w:cs="Arial"/>
          <w:sz w:val="20"/>
          <w:szCs w:val="20"/>
          <w:lang w:val="en-IE"/>
        </w:rPr>
        <w:t xml:space="preserve"> may also feature which are traded on major stock exchanges (</w:t>
      </w:r>
      <w:r w:rsidR="00E721B2">
        <w:rPr>
          <w:rFonts w:ascii="Arial" w:eastAsia="Times New Roman" w:hAnsi="Arial" w:cs="Arial"/>
          <w:sz w:val="20"/>
          <w:szCs w:val="20"/>
          <w:lang w:val="en-IE"/>
        </w:rPr>
        <w:t xml:space="preserve">e.g. </w:t>
      </w:r>
      <w:r w:rsidRPr="00E15F9F">
        <w:rPr>
          <w:rFonts w:ascii="Arial" w:eastAsia="Times New Roman" w:hAnsi="Arial" w:cs="Arial"/>
          <w:sz w:val="20"/>
          <w:szCs w:val="20"/>
          <w:lang w:val="en-IE"/>
        </w:rPr>
        <w:t>ETFs), along with other investment funds which follow indices (passive funds)</w:t>
      </w:r>
      <w:r w:rsidR="00FF52C0">
        <w:rPr>
          <w:rFonts w:ascii="Arial" w:eastAsia="Times New Roman" w:hAnsi="Arial" w:cs="Arial"/>
          <w:sz w:val="20"/>
          <w:szCs w:val="20"/>
          <w:lang w:val="en-IE"/>
        </w:rPr>
        <w:t>, as set ou</w:t>
      </w:r>
      <w:r w:rsidR="00FF52C0" w:rsidRPr="00FF52C0">
        <w:rPr>
          <w:rFonts w:ascii="Arial" w:eastAsia="Times New Roman" w:hAnsi="Arial" w:cs="Arial"/>
          <w:sz w:val="20"/>
          <w:szCs w:val="20"/>
          <w:lang w:val="en-IE"/>
        </w:rPr>
        <w:t>t below</w:t>
      </w:r>
      <w:r w:rsidR="00FF52C0">
        <w:rPr>
          <w:rFonts w:ascii="Arial" w:eastAsia="Times New Roman" w:hAnsi="Arial" w:cs="Arial"/>
          <w:sz w:val="20"/>
          <w:szCs w:val="20"/>
          <w:lang w:val="en-IE"/>
        </w:rPr>
        <w:t>,</w:t>
      </w:r>
      <w:r w:rsidRPr="00FF52C0">
        <w:rPr>
          <w:rFonts w:ascii="Arial" w:eastAsia="Times New Roman" w:hAnsi="Arial" w:cs="Arial"/>
          <w:sz w:val="20"/>
          <w:szCs w:val="20"/>
          <w:lang w:val="en-IE"/>
        </w:rPr>
        <w:t xml:space="preserve"> </w:t>
      </w:r>
      <w:r w:rsidRPr="00E15F9F">
        <w:rPr>
          <w:rFonts w:ascii="Arial" w:eastAsia="Times New Roman" w:hAnsi="Arial" w:cs="Arial"/>
          <w:sz w:val="20"/>
          <w:szCs w:val="20"/>
          <w:lang w:val="en-IE"/>
        </w:rPr>
        <w:t xml:space="preserve">whose value is linked to various asset types, including bonds and equities. The portfolio will have a strong approach to equities </w:t>
      </w:r>
      <w:r w:rsidR="007B1138">
        <w:rPr>
          <w:rFonts w:ascii="Arial" w:eastAsia="Times New Roman" w:hAnsi="Arial" w:cs="Arial"/>
          <w:sz w:val="20"/>
          <w:szCs w:val="20"/>
          <w:lang w:val="en-IE"/>
        </w:rPr>
        <w:t xml:space="preserve">- </w:t>
      </w:r>
      <w:r w:rsidRPr="00E15F9F">
        <w:rPr>
          <w:rFonts w:ascii="Arial" w:eastAsia="Times New Roman" w:hAnsi="Arial" w:cs="Arial"/>
          <w:sz w:val="20"/>
          <w:szCs w:val="20"/>
          <w:lang w:val="en-IE"/>
        </w:rPr>
        <w:t>typically comprising of around 70-8</w:t>
      </w:r>
      <w:r w:rsidR="006D01AF">
        <w:rPr>
          <w:rFonts w:ascii="Arial" w:eastAsia="Times New Roman" w:hAnsi="Arial" w:cs="Arial"/>
          <w:sz w:val="20"/>
          <w:szCs w:val="20"/>
          <w:lang w:val="en-IE"/>
        </w:rPr>
        <w:t>5</w:t>
      </w:r>
      <w:r w:rsidRPr="00E15F9F">
        <w:rPr>
          <w:rFonts w:ascii="Arial" w:eastAsia="Times New Roman" w:hAnsi="Arial" w:cs="Arial"/>
          <w:sz w:val="20"/>
          <w:szCs w:val="20"/>
          <w:lang w:val="en-IE"/>
        </w:rPr>
        <w:t>% equities though this weighting may fluctuate allowing the managers to react to market conditions.</w:t>
      </w:r>
      <w:r w:rsidR="002149C0">
        <w:rPr>
          <w:rFonts w:ascii="Arial" w:eastAsia="Times New Roman" w:hAnsi="Arial" w:cs="Arial"/>
          <w:sz w:val="20"/>
          <w:szCs w:val="20"/>
          <w:lang w:val="en-IE"/>
        </w:rPr>
        <w:t xml:space="preserve"> The Sub-Fun</w:t>
      </w:r>
      <w:r w:rsidR="007B1138">
        <w:rPr>
          <w:rFonts w:ascii="Arial" w:eastAsia="Times New Roman" w:hAnsi="Arial" w:cs="Arial"/>
          <w:sz w:val="20"/>
          <w:szCs w:val="20"/>
          <w:lang w:val="en-IE"/>
        </w:rPr>
        <w:t xml:space="preserve">d is considered dynamic due </w:t>
      </w:r>
      <w:r w:rsidR="0014624E">
        <w:rPr>
          <w:rFonts w:ascii="Arial" w:eastAsia="Times New Roman" w:hAnsi="Arial" w:cs="Arial"/>
          <w:sz w:val="20"/>
          <w:szCs w:val="20"/>
          <w:lang w:val="en-IE"/>
        </w:rPr>
        <w:t>to its’</w:t>
      </w:r>
      <w:r w:rsidR="007B1138">
        <w:rPr>
          <w:rFonts w:ascii="Arial" w:eastAsia="Times New Roman" w:hAnsi="Arial" w:cs="Arial"/>
          <w:sz w:val="20"/>
          <w:szCs w:val="20"/>
          <w:lang w:val="en-IE"/>
        </w:rPr>
        <w:t xml:space="preserve"> significant exposure to equities which will ultimately lead to higher levels of tactical allocation and volatility. </w:t>
      </w:r>
    </w:p>
    <w:p w14:paraId="22F98E20" w14:textId="77777777" w:rsidR="008E34C4" w:rsidRPr="008E34C4" w:rsidRDefault="008E34C4" w:rsidP="008E34C4">
      <w:r w:rsidRPr="00E15F9F">
        <w:rPr>
          <w:rFonts w:cs="Arial"/>
        </w:rPr>
        <w:t xml:space="preserve">The Sub-Fund may also, for ancillary liquidity purposes, hold and invest in cash, bank deposits and short-term debt instruments which may be fixed or floating rate instruments, including but not limited to commercial paper, floating rate notes, certificates of deposit, freely transferable promissory notes and debentures. Notwithstanding the foregoing, the </w:t>
      </w:r>
      <w:r>
        <w:rPr>
          <w:rFonts w:cs="Arial"/>
        </w:rPr>
        <w:t>Sub-</w:t>
      </w:r>
      <w:r w:rsidRPr="00E15F9F">
        <w:rPr>
          <w:rFonts w:cs="Arial"/>
        </w:rPr>
        <w:t>Fund reserves the right to invest without limitation in short-term debt instruments or to hold a substantial amount of uninvested cash for temporary, defensive purposes, during, for example, periods of extreme market stress.</w:t>
      </w:r>
    </w:p>
    <w:p w14:paraId="5ACE1639" w14:textId="77777777" w:rsidR="00E15F9F" w:rsidRPr="00E15F9F" w:rsidRDefault="00E15F9F" w:rsidP="00E15F9F">
      <w:pPr>
        <w:autoSpaceDE w:val="0"/>
        <w:autoSpaceDN w:val="0"/>
        <w:adjustRightInd w:val="0"/>
        <w:spacing w:line="240" w:lineRule="auto"/>
        <w:rPr>
          <w:rFonts w:cs="Arial"/>
          <w:i/>
          <w:iCs/>
        </w:rPr>
      </w:pPr>
      <w:r w:rsidRPr="00E15F9F">
        <w:rPr>
          <w:rFonts w:cs="Arial"/>
          <w:i/>
          <w:iCs/>
        </w:rPr>
        <w:t>Target Fund Selection</w:t>
      </w:r>
    </w:p>
    <w:p w14:paraId="2F37762E" w14:textId="77777777" w:rsidR="00E15F9F" w:rsidRPr="00E15F9F" w:rsidRDefault="009E27FB" w:rsidP="008E3C97">
      <w:pPr>
        <w:autoSpaceDE w:val="0"/>
        <w:autoSpaceDN w:val="0"/>
        <w:adjustRightInd w:val="0"/>
        <w:spacing w:line="240" w:lineRule="auto"/>
        <w:rPr>
          <w:rFonts w:cs="Arial"/>
        </w:rPr>
      </w:pPr>
      <w:r>
        <w:rPr>
          <w:rFonts w:cs="Arial"/>
        </w:rPr>
        <w:t>In order to select each target f</w:t>
      </w:r>
      <w:r w:rsidR="00E15F9F" w:rsidRPr="00E15F9F">
        <w:rPr>
          <w:rFonts w:cs="Arial"/>
        </w:rPr>
        <w:t xml:space="preserve">und and/or ETF (together the </w:t>
      </w:r>
      <w:r w:rsidR="00E15F9F" w:rsidRPr="00E15F9F">
        <w:rPr>
          <w:rFonts w:cs="Arial"/>
          <w:b/>
          <w:bCs/>
        </w:rPr>
        <w:t>Target Funds</w:t>
      </w:r>
      <w:r w:rsidR="00E15F9F" w:rsidRPr="00E15F9F">
        <w:rPr>
          <w:rFonts w:cs="Arial"/>
        </w:rPr>
        <w:t>), the Discretionary Investment Manager carries out an initial quantitative screening process across a range of criteria including historic performance, risk analysis, total expense ratios and liquidity in order to identify Target Funds which are high quality and the best investment choice for a particular asset class.</w:t>
      </w:r>
      <w:r>
        <w:rPr>
          <w:rFonts w:cs="Arial"/>
        </w:rPr>
        <w:t xml:space="preserve"> </w:t>
      </w:r>
      <w:r w:rsidR="00E15F9F" w:rsidRPr="00E15F9F">
        <w:rPr>
          <w:rFonts w:cs="Arial"/>
        </w:rPr>
        <w:t>This approach is supported by an in-depth qualitative analysis which seeks to identify the depth and capabilities</w:t>
      </w:r>
      <w:r w:rsidR="00BA7B86">
        <w:rPr>
          <w:rFonts w:cs="Arial"/>
        </w:rPr>
        <w:t xml:space="preserve"> </w:t>
      </w:r>
      <w:r w:rsidR="00E15F9F" w:rsidRPr="00E15F9F">
        <w:rPr>
          <w:rFonts w:cs="Arial"/>
        </w:rPr>
        <w:t xml:space="preserve">of the relevant investment team of the </w:t>
      </w:r>
      <w:r w:rsidR="00BA7B86">
        <w:rPr>
          <w:rFonts w:cs="Arial"/>
        </w:rPr>
        <w:t>T</w:t>
      </w:r>
      <w:r w:rsidR="00E15F9F" w:rsidRPr="00E15F9F">
        <w:rPr>
          <w:rFonts w:cs="Arial"/>
        </w:rPr>
        <w:t>arget Funds and ETFs and takes into account a number of related criteria. These include but are not limited to depth and history of management</w:t>
      </w:r>
      <w:r w:rsidR="008E3C97" w:rsidRPr="008E3C97">
        <w:t xml:space="preserve"> </w:t>
      </w:r>
      <w:r w:rsidR="008E3C97" w:rsidRPr="008E3C97">
        <w:rPr>
          <w:rFonts w:cs="Arial"/>
        </w:rPr>
        <w:t>(which includes assessing management's experience, length of time within</w:t>
      </w:r>
      <w:r w:rsidR="008E3C97">
        <w:rPr>
          <w:rFonts w:cs="Arial"/>
        </w:rPr>
        <w:t xml:space="preserve"> </w:t>
      </w:r>
      <w:r w:rsidR="008E3C97" w:rsidRPr="008E3C97">
        <w:rPr>
          <w:rFonts w:cs="Arial"/>
        </w:rPr>
        <w:t>the role, and investment backgrounds)</w:t>
      </w:r>
      <w:r w:rsidR="00E15F9F" w:rsidRPr="00E15F9F">
        <w:rPr>
          <w:rFonts w:cs="Arial"/>
        </w:rPr>
        <w:t>, the depth and history of the underlying investment fund house, financial stability counterparty risk, the relative performance and risk statistics and the culture and structure of the relevant investment manager in order to identify a universe of Target Funds which are best placed on the basis of these criteria to meet their objectives.</w:t>
      </w:r>
      <w:r w:rsidR="008E3C97" w:rsidRPr="008E3C97">
        <w:t xml:space="preserve"> </w:t>
      </w:r>
      <w:r w:rsidR="008E3C97" w:rsidRPr="008E3C97">
        <w:rPr>
          <w:rFonts w:cs="Arial"/>
        </w:rPr>
        <w:t>The Discretionary Investment Manager monitors the criteria, as set out</w:t>
      </w:r>
      <w:r w:rsidR="008E3C97">
        <w:rPr>
          <w:rFonts w:cs="Arial"/>
        </w:rPr>
        <w:t xml:space="preserve"> </w:t>
      </w:r>
      <w:r w:rsidR="008E3C97" w:rsidRPr="008E3C97">
        <w:rPr>
          <w:rFonts w:cs="Arial"/>
        </w:rPr>
        <w:t>above, on an ongoing basis and conducts reviews with the relevant investment team of the Target Funds to ensure the Target Funds are effectively performing within the current market and any performance deviation is explained.</w:t>
      </w:r>
    </w:p>
    <w:p w14:paraId="7DBD84A5" w14:textId="7480CACA" w:rsidR="00E15F9F" w:rsidRPr="00D02B3E" w:rsidRDefault="00E15F9F" w:rsidP="008E3C97">
      <w:pPr>
        <w:autoSpaceDE w:val="0"/>
        <w:autoSpaceDN w:val="0"/>
        <w:adjustRightInd w:val="0"/>
        <w:spacing w:line="240" w:lineRule="auto"/>
        <w:rPr>
          <w:rFonts w:cs="Arial"/>
        </w:rPr>
      </w:pPr>
      <w:r w:rsidRPr="00D02B3E">
        <w:rPr>
          <w:rFonts w:cs="Arial"/>
        </w:rPr>
        <w:t>All collective investment schemes</w:t>
      </w:r>
      <w:r w:rsidR="005559D2">
        <w:rPr>
          <w:rFonts w:cs="Arial"/>
        </w:rPr>
        <w:t xml:space="preserve"> </w:t>
      </w:r>
      <w:r w:rsidRPr="00D02B3E">
        <w:rPr>
          <w:rFonts w:cs="Arial"/>
        </w:rPr>
        <w:t>which the Sub-Fund may invest in will primarily be established and authorised as UCITS in either Ireland or Luxembourg or, to a lesser extent, other E</w:t>
      </w:r>
      <w:r w:rsidR="005559D2">
        <w:rPr>
          <w:rFonts w:cs="Arial"/>
        </w:rPr>
        <w:t>EA</w:t>
      </w:r>
      <w:r w:rsidRPr="00D02B3E">
        <w:rPr>
          <w:rFonts w:cs="Arial"/>
        </w:rPr>
        <w:t xml:space="preserve"> member states</w:t>
      </w:r>
      <w:r w:rsidR="008E3C97" w:rsidRPr="00D02B3E">
        <w:rPr>
          <w:rFonts w:cs="Arial"/>
        </w:rPr>
        <w:t>.</w:t>
      </w:r>
      <w:r w:rsidR="0014624E">
        <w:rPr>
          <w:rFonts w:cs="Arial"/>
        </w:rPr>
        <w:t xml:space="preserve"> </w:t>
      </w:r>
      <w:r w:rsidR="0014624E" w:rsidRPr="00D02B3E">
        <w:rPr>
          <w:rFonts w:cs="Arial"/>
        </w:rPr>
        <w:t xml:space="preserve">All </w:t>
      </w:r>
      <w:r w:rsidR="0014624E">
        <w:rPr>
          <w:rFonts w:cs="Arial"/>
        </w:rPr>
        <w:t xml:space="preserve">alternative investment funds </w:t>
      </w:r>
      <w:r w:rsidR="0014624E" w:rsidRPr="00D02B3E">
        <w:rPr>
          <w:rFonts w:cs="Arial"/>
        </w:rPr>
        <w:t>which the Sub-Fund may invest in will primarily be established and authorised in either Ireland or Luxembourg or, to a lesser extent, other E</w:t>
      </w:r>
      <w:r w:rsidR="0014624E">
        <w:rPr>
          <w:rFonts w:cs="Arial"/>
        </w:rPr>
        <w:t>EA</w:t>
      </w:r>
      <w:r w:rsidR="0014624E" w:rsidRPr="00D02B3E">
        <w:rPr>
          <w:rFonts w:cs="Arial"/>
        </w:rPr>
        <w:t xml:space="preserve"> member state</w:t>
      </w:r>
      <w:r w:rsidR="0014624E">
        <w:rPr>
          <w:rFonts w:cs="Arial"/>
        </w:rPr>
        <w:t>s and the UK</w:t>
      </w:r>
      <w:r w:rsidR="0014624E" w:rsidRPr="00D02B3E">
        <w:rPr>
          <w:rFonts w:cs="Arial"/>
        </w:rPr>
        <w:t>.</w:t>
      </w:r>
      <w:r w:rsidR="008E3C97" w:rsidRPr="00D02B3E">
        <w:rPr>
          <w:rFonts w:cs="Arial"/>
        </w:rPr>
        <w:t xml:space="preserve"> The Sub-Fund’s investments in securities (other than permitted investments in</w:t>
      </w:r>
      <w:r w:rsidR="00C4416A" w:rsidRPr="00D02B3E">
        <w:rPr>
          <w:rFonts w:cs="Arial"/>
        </w:rPr>
        <w:t xml:space="preserve"> </w:t>
      </w:r>
      <w:r w:rsidR="008E3C97" w:rsidRPr="00D02B3E">
        <w:rPr>
          <w:rFonts w:cs="Arial"/>
        </w:rPr>
        <w:t>unlisted investments) will be listed or traded on exchanges or markets listed in Appendix 1 to the Prospectus</w:t>
      </w:r>
      <w:r w:rsidR="00FF52C0" w:rsidRPr="00D02B3E">
        <w:rPr>
          <w:rFonts w:cs="Arial"/>
        </w:rPr>
        <w:t>.</w:t>
      </w:r>
    </w:p>
    <w:p w14:paraId="6A96A826" w14:textId="77777777" w:rsidR="00E15F9F" w:rsidRPr="00E15F9F" w:rsidRDefault="00E15F9F" w:rsidP="00E15F9F">
      <w:pPr>
        <w:autoSpaceDE w:val="0"/>
        <w:autoSpaceDN w:val="0"/>
        <w:adjustRightInd w:val="0"/>
        <w:spacing w:line="240" w:lineRule="auto"/>
        <w:rPr>
          <w:rFonts w:cs="Arial"/>
          <w:i/>
          <w:iCs/>
        </w:rPr>
      </w:pPr>
      <w:r w:rsidRPr="00E15F9F">
        <w:rPr>
          <w:rFonts w:cs="Arial"/>
          <w:i/>
          <w:iCs/>
        </w:rPr>
        <w:t>Asset Allocation</w:t>
      </w:r>
    </w:p>
    <w:p w14:paraId="30BD9D89" w14:textId="77777777" w:rsidR="00E15F9F" w:rsidRPr="00E15F9F" w:rsidRDefault="009E27FB" w:rsidP="00E15F9F">
      <w:pPr>
        <w:autoSpaceDE w:val="0"/>
        <w:autoSpaceDN w:val="0"/>
        <w:adjustRightInd w:val="0"/>
        <w:spacing w:line="240" w:lineRule="auto"/>
        <w:rPr>
          <w:rFonts w:cs="Arial"/>
        </w:rPr>
      </w:pPr>
      <w:r>
        <w:rPr>
          <w:rFonts w:cs="Arial"/>
        </w:rPr>
        <w:t>In order to seek capital growth, t</w:t>
      </w:r>
      <w:r w:rsidR="00E15F9F" w:rsidRPr="00E15F9F">
        <w:rPr>
          <w:rFonts w:cs="Arial"/>
        </w:rPr>
        <w:t>he Discretionary Investment Manager will determine the allocation to each of the above listed asset classes using its asset allocation methodology. The asset allocation methodology analyses medium and long-term</w:t>
      </w:r>
      <w:r w:rsidR="00E721B2">
        <w:rPr>
          <w:rFonts w:cs="Arial"/>
        </w:rPr>
        <w:t xml:space="preserve"> growth expectations for Target F</w:t>
      </w:r>
      <w:r w:rsidR="00E15F9F" w:rsidRPr="00E15F9F">
        <w:rPr>
          <w:rFonts w:cs="Arial"/>
        </w:rPr>
        <w:t>unds in each asset class (using factors such as current market environment, expected dividend growth for equity Target Funds, the global economic and political environment and changes in income yield for fixed income markets).</w:t>
      </w:r>
    </w:p>
    <w:p w14:paraId="7551618A" w14:textId="77777777" w:rsidR="00E15F9F" w:rsidRPr="00E15F9F" w:rsidRDefault="00E15F9F" w:rsidP="00E15F9F">
      <w:pPr>
        <w:autoSpaceDE w:val="0"/>
        <w:autoSpaceDN w:val="0"/>
        <w:adjustRightInd w:val="0"/>
        <w:spacing w:line="240" w:lineRule="auto"/>
        <w:rPr>
          <w:rFonts w:cs="Arial"/>
        </w:rPr>
      </w:pPr>
      <w:r w:rsidRPr="00E15F9F">
        <w:rPr>
          <w:rFonts w:cs="Arial"/>
        </w:rPr>
        <w:t xml:space="preserve">The results of this analysis are incorporated in the Discretionary Investment Manager's asset allocation </w:t>
      </w:r>
      <w:r w:rsidR="007C4595" w:rsidRPr="00E15F9F">
        <w:rPr>
          <w:rFonts w:cs="Arial"/>
        </w:rPr>
        <w:t>methodology</w:t>
      </w:r>
      <w:r w:rsidRPr="00E15F9F">
        <w:rPr>
          <w:rFonts w:cs="Arial"/>
        </w:rPr>
        <w:t xml:space="preserve"> which reviews and assesses the probability of extreme negative market events (i.e. sudden loss in value of a particular asset type). </w:t>
      </w:r>
    </w:p>
    <w:p w14:paraId="4E17E3FE" w14:textId="77777777" w:rsidR="00E15F9F" w:rsidRPr="00E15F9F" w:rsidRDefault="00E15F9F" w:rsidP="00E15F9F">
      <w:pPr>
        <w:autoSpaceDE w:val="0"/>
        <w:autoSpaceDN w:val="0"/>
        <w:adjustRightInd w:val="0"/>
        <w:spacing w:line="240" w:lineRule="auto"/>
        <w:rPr>
          <w:rFonts w:cs="Arial"/>
        </w:rPr>
      </w:pPr>
      <w:r w:rsidRPr="00E15F9F">
        <w:rPr>
          <w:rFonts w:cs="Arial"/>
        </w:rPr>
        <w:t xml:space="preserve">The Discretionary Investment Manager carries out further analysis of the output of the </w:t>
      </w:r>
      <w:r w:rsidR="007C4595" w:rsidRPr="00E15F9F">
        <w:rPr>
          <w:rFonts w:cs="Arial"/>
        </w:rPr>
        <w:t>methodology</w:t>
      </w:r>
      <w:r w:rsidRPr="00E15F9F">
        <w:rPr>
          <w:rFonts w:cs="Arial"/>
        </w:rPr>
        <w:t xml:space="preserve"> to determine portfolio allocations which based on the appropriate balance between the probability of negative market events </w:t>
      </w:r>
      <w:r w:rsidRPr="00E15F9F">
        <w:rPr>
          <w:rFonts w:cs="Arial"/>
        </w:rPr>
        <w:lastRenderedPageBreak/>
        <w:t>and long-term growth expectations, in its view, will achieve capital growth over the long-term.</w:t>
      </w:r>
    </w:p>
    <w:p w14:paraId="059260AB" w14:textId="47B49756" w:rsidR="00E15F9F" w:rsidRDefault="00E15F9F" w:rsidP="00E15F9F">
      <w:pPr>
        <w:autoSpaceDE w:val="0"/>
        <w:autoSpaceDN w:val="0"/>
        <w:adjustRightInd w:val="0"/>
        <w:spacing w:line="240" w:lineRule="auto"/>
        <w:rPr>
          <w:rFonts w:cs="Arial"/>
        </w:rPr>
      </w:pPr>
      <w:r w:rsidRPr="00E15F9F">
        <w:rPr>
          <w:rFonts w:cs="Arial"/>
        </w:rPr>
        <w:t>The Discretionary Investment Manager will use this methodology on an ongoing basis to monitor the levels of exposure to each asset class to ensure the portfolio continues to achieve capital growth over the long term.</w:t>
      </w:r>
    </w:p>
    <w:p w14:paraId="761E8C0D" w14:textId="60CF4522" w:rsidR="007B1138" w:rsidRPr="007B1138" w:rsidRDefault="007B1138" w:rsidP="007B1138">
      <w:pPr>
        <w:pStyle w:val="L2Para"/>
        <w:ind w:left="0"/>
        <w:rPr>
          <w:lang w:val="en-GB"/>
        </w:rPr>
      </w:pPr>
      <w:r>
        <w:rPr>
          <w:lang w:val="en-GB"/>
        </w:rPr>
        <w:t>F</w:t>
      </w:r>
      <w:r w:rsidRPr="000A625F">
        <w:rPr>
          <w:lang w:val="en-GB"/>
        </w:rPr>
        <w:t>or the purposes of Regulation (EU) 2019/2088 on sustainability-related disclosures in the financial services sector (</w:t>
      </w:r>
      <w:r w:rsidRPr="007B2A5F">
        <w:rPr>
          <w:b/>
          <w:lang w:val="en-GB"/>
        </w:rPr>
        <w:t>SFDR</w:t>
      </w:r>
      <w:r w:rsidRPr="000A625F">
        <w:rPr>
          <w:lang w:val="en-GB"/>
        </w:rPr>
        <w:t>)</w:t>
      </w:r>
      <w:r>
        <w:rPr>
          <w:lang w:val="en-GB"/>
        </w:rPr>
        <w:t xml:space="preserve">, </w:t>
      </w:r>
      <w:r w:rsidRPr="000A625F">
        <w:rPr>
          <w:lang w:val="en-GB"/>
        </w:rPr>
        <w:t xml:space="preserve">the Sub-Fund is not deemed (i) a fund that promotes environmental or social characteristics; (ii) a fund that has sustainable investment as its objective; or (iii) a fund with reduction in carbon emissions as its objective. As such, the Sub-Fund discloses under Article 6 of the SFDR and does not disclose under Articles 8 or 9 of the SFDR. </w:t>
      </w:r>
    </w:p>
    <w:p w14:paraId="09B41AAF" w14:textId="12A58082" w:rsidR="00FF1DD2" w:rsidRPr="00916F31" w:rsidRDefault="00916F31" w:rsidP="00E64861">
      <w:pPr>
        <w:pStyle w:val="L2Para"/>
        <w:ind w:left="0"/>
        <w:rPr>
          <w:rFonts w:cs="Arial"/>
          <w:bCs/>
        </w:rPr>
      </w:pPr>
      <w:r>
        <w:rPr>
          <w:rFonts w:cs="Arial"/>
          <w:bCs/>
        </w:rPr>
        <w:t>The i</w:t>
      </w:r>
      <w:r w:rsidRPr="00916F31">
        <w:rPr>
          <w:rFonts w:cs="Arial"/>
          <w:bCs/>
        </w:rPr>
        <w:t xml:space="preserve">nvestments underlying </w:t>
      </w:r>
      <w:r>
        <w:rPr>
          <w:rFonts w:cs="Arial"/>
          <w:bCs/>
        </w:rPr>
        <w:t>the</w:t>
      </w:r>
      <w:r w:rsidRPr="00916F31">
        <w:rPr>
          <w:rFonts w:cs="Arial"/>
          <w:bCs/>
        </w:rPr>
        <w:t xml:space="preserve"> Sub-Fund do not take into account the EU criteria for environmentally sustainable economic activities </w:t>
      </w:r>
      <w:r>
        <w:rPr>
          <w:rFonts w:cs="Arial"/>
          <w:bCs/>
        </w:rPr>
        <w:t>as</w:t>
      </w:r>
      <w:r w:rsidRPr="00916F31">
        <w:rPr>
          <w:rFonts w:cs="Arial"/>
          <w:bCs/>
        </w:rPr>
        <w:t xml:space="preserve"> the Sub-Fund does not integrate any kind of sustainability into the investment process.</w:t>
      </w:r>
      <w:r w:rsidR="00FF1DD2">
        <w:rPr>
          <w:rFonts w:cs="Arial"/>
          <w:bCs/>
          <w:lang w:val="en-GB"/>
        </w:rPr>
        <w:t xml:space="preserve"> </w:t>
      </w:r>
      <w:r w:rsidR="00E64861">
        <w:t>Further detail in relation to</w:t>
      </w:r>
      <w:r w:rsidR="00E64861" w:rsidRPr="00E64861">
        <w:t xml:space="preserve"> the sustainability risks that may impact the Sub-Fund are </w:t>
      </w:r>
      <w:r w:rsidR="00E64861">
        <w:t xml:space="preserve">set out under the heading </w:t>
      </w:r>
      <w:r w:rsidR="00E64861" w:rsidRPr="00E64861">
        <w:rPr>
          <w:b/>
        </w:rPr>
        <w:t>Risk Factors</w:t>
      </w:r>
      <w:r w:rsidR="00E64861">
        <w:t xml:space="preserve"> in the </w:t>
      </w:r>
      <w:r w:rsidR="00E64861" w:rsidRPr="00E64861">
        <w:t>Prospectus</w:t>
      </w:r>
      <w:r w:rsidR="00E64861">
        <w:t xml:space="preserve">. </w:t>
      </w:r>
    </w:p>
    <w:p w14:paraId="5B9327FB" w14:textId="109C2302" w:rsidR="00E15F9F" w:rsidRPr="00E15F9F" w:rsidRDefault="00E15F9F" w:rsidP="00E15F9F">
      <w:pPr>
        <w:autoSpaceDE w:val="0"/>
        <w:autoSpaceDN w:val="0"/>
        <w:adjustRightInd w:val="0"/>
        <w:spacing w:line="240" w:lineRule="auto"/>
        <w:rPr>
          <w:rFonts w:cs="Arial"/>
        </w:rPr>
      </w:pPr>
      <w:r w:rsidRPr="00E15F9F">
        <w:rPr>
          <w:rFonts w:cs="Arial"/>
          <w:b/>
          <w:bCs/>
        </w:rPr>
        <w:t>As the Sub-Fund</w:t>
      </w:r>
      <w:r w:rsidR="00E60855" w:rsidRPr="00E60855">
        <w:rPr>
          <w:b/>
        </w:rPr>
        <w:t xml:space="preserve"> </w:t>
      </w:r>
      <w:r w:rsidR="00E60855">
        <w:rPr>
          <w:b/>
        </w:rPr>
        <w:t xml:space="preserve">will invest more than 20% in Target Funds, will </w:t>
      </w:r>
      <w:r w:rsidR="00E60855">
        <w:rPr>
          <w:rFonts w:cs="Arial"/>
          <w:b/>
          <w:bCs/>
        </w:rPr>
        <w:t>invest</w:t>
      </w:r>
      <w:r w:rsidRPr="00E15F9F">
        <w:rPr>
          <w:rFonts w:cs="Arial"/>
          <w:b/>
          <w:bCs/>
        </w:rPr>
        <w:t xml:space="preserve"> for the long term and is equity oriented, an investment in the Sub-Fund should only be made by those persons who could sustain medium </w:t>
      </w:r>
      <w:r w:rsidR="007D4CE0">
        <w:rPr>
          <w:rFonts w:cs="Arial"/>
          <w:b/>
          <w:bCs/>
        </w:rPr>
        <w:t xml:space="preserve">to long </w:t>
      </w:r>
      <w:r w:rsidRPr="00E15F9F">
        <w:rPr>
          <w:rFonts w:cs="Arial"/>
          <w:b/>
          <w:bCs/>
        </w:rPr>
        <w:t>term losses on their investment which could be significant</w:t>
      </w:r>
      <w:r w:rsidR="00E60855">
        <w:rPr>
          <w:rFonts w:cs="Arial"/>
          <w:b/>
          <w:bCs/>
        </w:rPr>
        <w:t>,</w:t>
      </w:r>
      <w:r w:rsidR="00E60855" w:rsidRPr="00E60855">
        <w:rPr>
          <w:b/>
        </w:rPr>
        <w:t xml:space="preserve"> </w:t>
      </w:r>
      <w:r w:rsidR="00E60855">
        <w:rPr>
          <w:b/>
        </w:rPr>
        <w:t>should not constitute a substantial portion of an investment portfolio</w:t>
      </w:r>
      <w:r w:rsidRPr="00E15F9F">
        <w:rPr>
          <w:rFonts w:cs="Arial"/>
          <w:b/>
          <w:bCs/>
        </w:rPr>
        <w:t xml:space="preserve"> and may not be appropriate for all investors.</w:t>
      </w:r>
    </w:p>
    <w:p w14:paraId="3771BA4D" w14:textId="77777777" w:rsidR="00E15F9F" w:rsidRPr="00E15F9F" w:rsidRDefault="00E15F9F" w:rsidP="00E15F9F">
      <w:pPr>
        <w:pStyle w:val="Heading1"/>
        <w:numPr>
          <w:ilvl w:val="0"/>
          <w:numId w:val="17"/>
        </w:numPr>
      </w:pPr>
      <w:bookmarkStart w:id="2" w:name="_Toc10131008"/>
      <w:r w:rsidRPr="00E15F9F">
        <w:t>Profile OF A Typical Investor</w:t>
      </w:r>
      <w:bookmarkEnd w:id="2"/>
    </w:p>
    <w:p w14:paraId="2104E7F4" w14:textId="26D996A8" w:rsidR="00E15F9F" w:rsidRPr="00E15F9F" w:rsidRDefault="00E15F9F" w:rsidP="00E15F9F">
      <w:pPr>
        <w:pStyle w:val="L2Para"/>
        <w:ind w:left="0"/>
      </w:pPr>
      <w:r w:rsidRPr="00E15F9F">
        <w:t xml:space="preserve">The Sub-Fund may be suitable for investors with an investment horizon of over </w:t>
      </w:r>
      <w:r w:rsidR="006D01AF">
        <w:t>five</w:t>
      </w:r>
      <w:r w:rsidR="007D4CE0">
        <w:t xml:space="preserve"> </w:t>
      </w:r>
      <w:r w:rsidRPr="00E15F9F">
        <w:t xml:space="preserve">years that seek capital growth primarily through exposure to </w:t>
      </w:r>
      <w:r w:rsidR="00C203B5">
        <w:t xml:space="preserve">the Target </w:t>
      </w:r>
      <w:r w:rsidRPr="00E15F9F">
        <w:t>Funds and ETFs and who are willing to accept the shorter term fluctuations in price typically associated with such investments. Investors should have an understanding of investments in the above securities and note that there is a high risk of short-term capital loss compared to other investment types but with the potential to deliver higher investment returns over the minimum suggested timeframe.</w:t>
      </w:r>
    </w:p>
    <w:p w14:paraId="54433629" w14:textId="77777777" w:rsidR="00E15F9F" w:rsidRPr="00E15F9F" w:rsidRDefault="00E15F9F" w:rsidP="00E15F9F">
      <w:pPr>
        <w:pStyle w:val="Heading1"/>
        <w:numPr>
          <w:ilvl w:val="0"/>
          <w:numId w:val="17"/>
        </w:numPr>
      </w:pPr>
      <w:bookmarkStart w:id="3" w:name="_Toc10131009"/>
      <w:r w:rsidRPr="00E15F9F">
        <w:t>Investment Restrictions</w:t>
      </w:r>
      <w:bookmarkEnd w:id="3"/>
    </w:p>
    <w:p w14:paraId="3181976A" w14:textId="77777777" w:rsidR="00E15F9F" w:rsidRPr="00E15F9F" w:rsidRDefault="00E15F9F" w:rsidP="00E15F9F">
      <w:pPr>
        <w:pStyle w:val="L2Para"/>
        <w:ind w:left="0"/>
      </w:pPr>
      <w:r w:rsidRPr="00E15F9F">
        <w:t xml:space="preserve">The general investment restrictions as set out in the section of the Prospectus entitled </w:t>
      </w:r>
      <w:r w:rsidRPr="00E15F9F">
        <w:rPr>
          <w:b/>
        </w:rPr>
        <w:t>Investment Restrictions</w:t>
      </w:r>
      <w:r w:rsidRPr="00E15F9F">
        <w:t xml:space="preserve"> shall apply.</w:t>
      </w:r>
    </w:p>
    <w:p w14:paraId="539A9326" w14:textId="77777777" w:rsidR="00E15F9F" w:rsidRPr="00E15F9F" w:rsidRDefault="00E15F9F" w:rsidP="00E15F9F">
      <w:pPr>
        <w:pStyle w:val="Heading1"/>
        <w:numPr>
          <w:ilvl w:val="0"/>
          <w:numId w:val="17"/>
        </w:numPr>
      </w:pPr>
      <w:bookmarkStart w:id="4" w:name="_Toc10131010"/>
      <w:r w:rsidRPr="00E15F9F">
        <w:t>Borrowing</w:t>
      </w:r>
      <w:bookmarkEnd w:id="4"/>
    </w:p>
    <w:p w14:paraId="6C0C0A3E" w14:textId="77777777" w:rsidR="00E15F9F" w:rsidRPr="00E15F9F" w:rsidRDefault="00E15F9F" w:rsidP="00E15F9F">
      <w:pPr>
        <w:pStyle w:val="L2Para"/>
        <w:ind w:left="0"/>
        <w:rPr>
          <w:b/>
        </w:rPr>
      </w:pPr>
      <w:r w:rsidRPr="00E15F9F">
        <w:t xml:space="preserve">The Sub-Fund may borrow up to 10% of its total Net Asset Value on a temporary basis as further described in the section </w:t>
      </w:r>
      <w:r w:rsidRPr="00E15F9F">
        <w:rPr>
          <w:b/>
        </w:rPr>
        <w:t xml:space="preserve">Borrowing, Leverage, Lending Powers and Restrictions </w:t>
      </w:r>
      <w:r w:rsidRPr="00E15F9F">
        <w:t>in the Prospectus</w:t>
      </w:r>
      <w:r w:rsidRPr="00E15F9F">
        <w:rPr>
          <w:b/>
        </w:rPr>
        <w:t>.</w:t>
      </w:r>
    </w:p>
    <w:p w14:paraId="24F1ECE1" w14:textId="77777777" w:rsidR="00E15F9F" w:rsidRPr="00E15F9F" w:rsidRDefault="00E15F9F" w:rsidP="00E15F9F">
      <w:pPr>
        <w:pStyle w:val="Heading1"/>
        <w:numPr>
          <w:ilvl w:val="0"/>
          <w:numId w:val="17"/>
        </w:numPr>
      </w:pPr>
      <w:bookmarkStart w:id="5" w:name="_Toc10131011"/>
      <w:r w:rsidRPr="00E15F9F">
        <w:t>Risk Factors</w:t>
      </w:r>
      <w:bookmarkEnd w:id="5"/>
    </w:p>
    <w:p w14:paraId="10E27091" w14:textId="049D5763" w:rsidR="00E15F9F" w:rsidRPr="00740A0D" w:rsidRDefault="00E15F9F" w:rsidP="00740A0D">
      <w:pPr>
        <w:pStyle w:val="L2Para"/>
        <w:ind w:left="0"/>
      </w:pPr>
      <w:r w:rsidRPr="00E15F9F">
        <w:t xml:space="preserve">The general risk factors set out under the heading </w:t>
      </w:r>
      <w:r w:rsidRPr="00E15F9F">
        <w:rPr>
          <w:b/>
        </w:rPr>
        <w:t>Risk Factors</w:t>
      </w:r>
      <w:r w:rsidRPr="00E15F9F">
        <w:t xml:space="preserve"> in the Prospectus apply to the Sub-Fund.</w:t>
      </w:r>
    </w:p>
    <w:p w14:paraId="5A053587" w14:textId="77777777" w:rsidR="00FF52C0" w:rsidRPr="00554314" w:rsidRDefault="00E15F9F" w:rsidP="005559D2">
      <w:pPr>
        <w:pStyle w:val="Heading2"/>
        <w:numPr>
          <w:ilvl w:val="0"/>
          <w:numId w:val="0"/>
        </w:numPr>
        <w:ind w:left="720" w:hanging="720"/>
        <w:rPr>
          <w:b/>
          <w:bCs w:val="0"/>
        </w:rPr>
      </w:pPr>
      <w:r w:rsidRPr="00554314">
        <w:rPr>
          <w:b/>
          <w:bCs w:val="0"/>
        </w:rPr>
        <w:t xml:space="preserve">Investment in </w:t>
      </w:r>
      <w:bookmarkStart w:id="6" w:name="_BPDCI_10"/>
      <w:r w:rsidR="00FF52C0" w:rsidRPr="00554314">
        <w:rPr>
          <w:b/>
          <w:bCs w:val="0"/>
        </w:rPr>
        <w:t>collective investment schemes</w:t>
      </w:r>
      <w:bookmarkEnd w:id="6"/>
    </w:p>
    <w:p w14:paraId="1E35CE30" w14:textId="347779AF" w:rsidR="00554314" w:rsidRPr="005559D2" w:rsidRDefault="00E15F9F" w:rsidP="00554314">
      <w:r w:rsidRPr="00E15F9F">
        <w:t xml:space="preserve">Managers of </w:t>
      </w:r>
      <w:r w:rsidR="007A0B73">
        <w:t xml:space="preserve">the Target </w:t>
      </w:r>
      <w:r w:rsidRPr="00E15F9F">
        <w:t xml:space="preserve">Funds and ETFs in which a Sub-Fund may invest may take undesirable tax positions or otherwise manage the collective investment schemes or be managed in a manner not anticipated by the Manager or the </w:t>
      </w:r>
      <w:r w:rsidR="007A0B73">
        <w:t xml:space="preserve">Discretionary </w:t>
      </w:r>
      <w:r w:rsidRPr="00E15F9F">
        <w:t>Investment Manager.</w:t>
      </w:r>
    </w:p>
    <w:p w14:paraId="73061261" w14:textId="77777777" w:rsidR="0020345C" w:rsidRPr="00E15F9F" w:rsidRDefault="0020345C" w:rsidP="0020345C">
      <w:pPr>
        <w:pStyle w:val="Heading1"/>
        <w:numPr>
          <w:ilvl w:val="0"/>
          <w:numId w:val="17"/>
        </w:numPr>
      </w:pPr>
      <w:bookmarkStart w:id="7" w:name="_Toc10131012"/>
      <w:r w:rsidRPr="00E15F9F">
        <w:t>Investment MANAGER</w:t>
      </w:r>
      <w:bookmarkEnd w:id="7"/>
    </w:p>
    <w:p w14:paraId="4AFC09A0" w14:textId="77777777" w:rsidR="00927530" w:rsidRDefault="0020345C" w:rsidP="0020345C">
      <w:pPr>
        <w:autoSpaceDE w:val="0"/>
        <w:autoSpaceDN w:val="0"/>
        <w:adjustRightInd w:val="0"/>
        <w:spacing w:line="240" w:lineRule="auto"/>
      </w:pPr>
      <w:r w:rsidRPr="00E15F9F">
        <w:t xml:space="preserve">The Manager has appointed TAM Asset Management Limited (the </w:t>
      </w:r>
      <w:r w:rsidRPr="0020345C">
        <w:rPr>
          <w:b/>
        </w:rPr>
        <w:t>Discretionary</w:t>
      </w:r>
      <w:r>
        <w:t xml:space="preserve"> </w:t>
      </w:r>
      <w:r w:rsidRPr="0020345C">
        <w:rPr>
          <w:b/>
        </w:rPr>
        <w:t>Investment Manager</w:t>
      </w:r>
      <w:r w:rsidRPr="00E15F9F">
        <w:t xml:space="preserve">) to act as </w:t>
      </w:r>
      <w:r>
        <w:t>i</w:t>
      </w:r>
      <w:r w:rsidRPr="00E15F9F">
        <w:t xml:space="preserve">nvestment </w:t>
      </w:r>
      <w:r>
        <w:t>m</w:t>
      </w:r>
      <w:r w:rsidRPr="00E15F9F">
        <w:t xml:space="preserve">anager of the Sub-Fund pursuant to an investment management agreement dated </w:t>
      </w:r>
      <w:r w:rsidR="00436CC7" w:rsidRPr="00EE3EE4">
        <w:t xml:space="preserve">18 June </w:t>
      </w:r>
      <w:r>
        <w:t>2019</w:t>
      </w:r>
      <w:r w:rsidRPr="00E15F9F">
        <w:t xml:space="preserve"> (the </w:t>
      </w:r>
      <w:r w:rsidRPr="0020345C">
        <w:rPr>
          <w:b/>
        </w:rPr>
        <w:t>Investment Management Agreement</w:t>
      </w:r>
      <w:r w:rsidRPr="00E15F9F">
        <w:t xml:space="preserve">). </w:t>
      </w:r>
    </w:p>
    <w:p w14:paraId="420A18AA" w14:textId="3D4EBEF9" w:rsidR="0020345C" w:rsidRPr="00E15F9F" w:rsidRDefault="0020345C" w:rsidP="0020345C">
      <w:pPr>
        <w:autoSpaceDE w:val="0"/>
        <w:autoSpaceDN w:val="0"/>
        <w:adjustRightInd w:val="0"/>
        <w:spacing w:line="240" w:lineRule="auto"/>
        <w:rPr>
          <w:b/>
          <w:bCs/>
          <w:caps/>
        </w:rPr>
      </w:pPr>
      <w:r w:rsidRPr="00E15F9F">
        <w:t xml:space="preserve">The Discretionary Investment Manager is a limited company and authorised by the Financial Conduct Authority (the </w:t>
      </w:r>
      <w:r w:rsidRPr="0020345C">
        <w:rPr>
          <w:b/>
        </w:rPr>
        <w:t>FCA</w:t>
      </w:r>
      <w:r w:rsidRPr="00E15F9F">
        <w:t>) in the United Kingdom under registration number 208243. The registered office of the Discretionary Investment Manager is 10th Floor, 40 Basinghall Street, London EC2V 5DE</w:t>
      </w:r>
      <w:r w:rsidR="00927530">
        <w:t xml:space="preserve">. As at </w:t>
      </w:r>
      <w:r w:rsidR="00E133B8">
        <w:t>31 December 2022</w:t>
      </w:r>
      <w:r w:rsidR="00927530">
        <w:t xml:space="preserve">, </w:t>
      </w:r>
      <w:r w:rsidRPr="00E15F9F">
        <w:t xml:space="preserve">the </w:t>
      </w:r>
      <w:r w:rsidRPr="00E15F9F">
        <w:lastRenderedPageBreak/>
        <w:t>Discretionary Investment Manager had approximately £</w:t>
      </w:r>
      <w:r w:rsidR="006D01AF">
        <w:t>600</w:t>
      </w:r>
      <w:r w:rsidRPr="00E15F9F">
        <w:t>m</w:t>
      </w:r>
      <w:r>
        <w:t>illion</w:t>
      </w:r>
      <w:r w:rsidRPr="00E15F9F">
        <w:t xml:space="preserve"> of funds under management</w:t>
      </w:r>
      <w:r>
        <w:t>.</w:t>
      </w:r>
    </w:p>
    <w:p w14:paraId="18610DEC" w14:textId="2B3CCA8E" w:rsidR="00E15F9F" w:rsidRPr="00E15F9F" w:rsidRDefault="0020345C" w:rsidP="00E15F9F">
      <w:pPr>
        <w:pStyle w:val="Heading1"/>
        <w:numPr>
          <w:ilvl w:val="0"/>
          <w:numId w:val="17"/>
        </w:numPr>
      </w:pPr>
      <w:bookmarkStart w:id="8" w:name="_Toc10131013"/>
      <w:r>
        <w:t>KEy information for subscriptions and redemptions</w:t>
      </w:r>
      <w:bookmarkEnd w:id="8"/>
    </w:p>
    <w:p w14:paraId="5E5FDA3E" w14:textId="110127AF" w:rsidR="00E15F9F" w:rsidRPr="00E15F9F" w:rsidRDefault="00E15F9F" w:rsidP="00E15F9F">
      <w:pPr>
        <w:pStyle w:val="L2Para"/>
        <w:ind w:left="0"/>
        <w:rPr>
          <w:b/>
        </w:rPr>
      </w:pPr>
      <w:r w:rsidRPr="00E15F9F">
        <w:rPr>
          <w:b/>
        </w:rPr>
        <w:t>Available Share Classes:</w:t>
      </w:r>
    </w:p>
    <w:p w14:paraId="15936546" w14:textId="77777777" w:rsidR="00E15F9F" w:rsidRPr="00E15F9F" w:rsidRDefault="00E15F9F" w:rsidP="00E15F9F">
      <w:r w:rsidRPr="00E15F9F">
        <w:t>Class C Institutional EUR</w:t>
      </w:r>
    </w:p>
    <w:p w14:paraId="52A0E953" w14:textId="77777777" w:rsidR="00E15F9F" w:rsidRPr="00E15F9F" w:rsidRDefault="00E15F9F" w:rsidP="00E15F9F">
      <w:r w:rsidRPr="00E15F9F">
        <w:t xml:space="preserve">Class C Institutional GBP </w:t>
      </w:r>
    </w:p>
    <w:p w14:paraId="0223E627" w14:textId="77777777" w:rsidR="00E15F9F" w:rsidRPr="00E15F9F" w:rsidRDefault="00E15F9F" w:rsidP="00E15F9F">
      <w:r w:rsidRPr="00E15F9F">
        <w:t>Class C Institutional USD (</w:t>
      </w:r>
      <w:r w:rsidRPr="00E15F9F">
        <w:rPr>
          <w:b/>
        </w:rPr>
        <w:t>Institutional Classes</w:t>
      </w:r>
      <w:r w:rsidR="00AB38EF">
        <w:t>)</w:t>
      </w:r>
    </w:p>
    <w:p w14:paraId="36412735" w14:textId="77777777" w:rsidR="00E15F9F" w:rsidRPr="00E15F9F" w:rsidRDefault="00E15F9F" w:rsidP="00E15F9F">
      <w:pPr>
        <w:pStyle w:val="L2Para"/>
        <w:ind w:left="0"/>
      </w:pPr>
      <w:r w:rsidRPr="00E15F9F">
        <w:rPr>
          <w:b/>
        </w:rPr>
        <w:t>Base Currency:</w:t>
      </w:r>
      <w:r w:rsidRPr="00E15F9F">
        <w:t xml:space="preserve"> Sterling (£)</w:t>
      </w:r>
    </w:p>
    <w:p w14:paraId="7C89E934" w14:textId="77777777" w:rsidR="00E15F9F" w:rsidRPr="00E15F9F" w:rsidRDefault="00E15F9F" w:rsidP="00E15F9F">
      <w:pPr>
        <w:pStyle w:val="L2Para"/>
        <w:ind w:left="0"/>
        <w:rPr>
          <w:rFonts w:eastAsia="Times New Roman"/>
        </w:rPr>
      </w:pPr>
      <w:r w:rsidRPr="00E15F9F">
        <w:rPr>
          <w:rFonts w:eastAsia="Times New Roman"/>
          <w:b/>
        </w:rPr>
        <w:t xml:space="preserve">Business Day </w:t>
      </w:r>
      <w:r w:rsidR="008E3C97">
        <w:rPr>
          <w:rFonts w:eastAsia="Times New Roman"/>
        </w:rPr>
        <w:t>means every c</w:t>
      </w:r>
      <w:r w:rsidRPr="00E15F9F">
        <w:rPr>
          <w:rFonts w:eastAsia="Times New Roman"/>
        </w:rPr>
        <w:t>alendar day except a Saturday or a Sunday on which banks in Ireland are open for normal business or such other day(s) as the Directors may determine and notify to Shareholders in advance.</w:t>
      </w:r>
    </w:p>
    <w:p w14:paraId="51C475A3" w14:textId="77777777" w:rsidR="00E15F9F" w:rsidRPr="00E15F9F" w:rsidRDefault="00E15F9F" w:rsidP="00E15F9F">
      <w:pPr>
        <w:pStyle w:val="L2Para"/>
        <w:ind w:left="0"/>
        <w:rPr>
          <w:rFonts w:eastAsia="Times New Roman"/>
        </w:rPr>
      </w:pPr>
      <w:r w:rsidRPr="00E15F9F">
        <w:rPr>
          <w:rFonts w:eastAsia="Times New Roman"/>
          <w:b/>
        </w:rPr>
        <w:t>Dealing Day</w:t>
      </w:r>
      <w:r w:rsidRPr="00E15F9F">
        <w:rPr>
          <w:rFonts w:eastAsia="Times New Roman"/>
        </w:rPr>
        <w:t xml:space="preserve"> means every Business Day or such other day as the Directors may determine and notify to Shareholders in advance provided there is at least one per fortnight.</w:t>
      </w:r>
    </w:p>
    <w:p w14:paraId="78E1D0E4" w14:textId="77777777" w:rsidR="00E15F9F" w:rsidRPr="00E15F9F" w:rsidRDefault="00E15F9F" w:rsidP="00E15F9F">
      <w:pPr>
        <w:pStyle w:val="L2Para"/>
        <w:ind w:left="0"/>
        <w:rPr>
          <w:rFonts w:eastAsia="Times New Roman"/>
        </w:rPr>
      </w:pPr>
      <w:r w:rsidRPr="00E15F9F">
        <w:rPr>
          <w:rFonts w:eastAsia="Times New Roman"/>
          <w:b/>
        </w:rPr>
        <w:t xml:space="preserve">Dealing Deadline </w:t>
      </w:r>
      <w:r w:rsidRPr="00E15F9F">
        <w:rPr>
          <w:rFonts w:eastAsia="Times New Roman"/>
        </w:rPr>
        <w:t>means</w:t>
      </w:r>
      <w:r w:rsidR="007C4595">
        <w:rPr>
          <w:rFonts w:eastAsia="Times New Roman"/>
        </w:rPr>
        <w:t xml:space="preserve"> 12:00</w:t>
      </w:r>
      <w:r w:rsidRPr="00E15F9F">
        <w:rPr>
          <w:rFonts w:eastAsia="Times New Roman"/>
        </w:rPr>
        <w:t>pm (Irish time) on the Business Day prior to the relevant Dealing Day or such other time as the Directors may determine provided it is prior to the relevant Valuation Point.</w:t>
      </w:r>
    </w:p>
    <w:p w14:paraId="0A17C380" w14:textId="77777777" w:rsidR="00E15F9F" w:rsidRPr="00E15F9F" w:rsidRDefault="00E15F9F" w:rsidP="00E15F9F">
      <w:pPr>
        <w:pStyle w:val="L2Para"/>
        <w:ind w:left="0"/>
        <w:rPr>
          <w:rFonts w:eastAsia="Times New Roman"/>
        </w:rPr>
      </w:pPr>
      <w:r w:rsidRPr="00E15F9F">
        <w:rPr>
          <w:rFonts w:eastAsia="Times New Roman"/>
          <w:b/>
        </w:rPr>
        <w:t xml:space="preserve">Issue Price </w:t>
      </w:r>
      <w:r w:rsidRPr="00E15F9F">
        <w:rPr>
          <w:rFonts w:eastAsia="Times New Roman"/>
        </w:rPr>
        <w:t>means, during the initial offer period for the Share Class in question, the Initial Offer Price for the Class in question, and thereafter, subject as hereinafter provided, the Net Asset Value per Share of the relevant Share Class.</w:t>
      </w:r>
    </w:p>
    <w:p w14:paraId="4CB3C4F7" w14:textId="0449B379" w:rsidR="00E15F9F" w:rsidRPr="00E15F9F" w:rsidRDefault="00E15F9F" w:rsidP="00E15F9F">
      <w:pPr>
        <w:pStyle w:val="L2Para"/>
        <w:ind w:left="0"/>
        <w:rPr>
          <w:rFonts w:eastAsia="Times New Roman"/>
        </w:rPr>
      </w:pPr>
      <w:r w:rsidRPr="00E15F9F">
        <w:rPr>
          <w:rFonts w:eastAsia="Times New Roman"/>
          <w:b/>
        </w:rPr>
        <w:t>Initial Offer Period</w:t>
      </w:r>
      <w:r w:rsidRPr="00E15F9F">
        <w:rPr>
          <w:rFonts w:eastAsia="Times New Roman"/>
        </w:rPr>
        <w:t xml:space="preserve"> </w:t>
      </w:r>
      <w:r w:rsidR="00436CC7" w:rsidRPr="004634F9">
        <w:rPr>
          <w:rFonts w:eastAsia="Times New Roman"/>
        </w:rPr>
        <w:t xml:space="preserve">means in respect of each Share Class, from </w:t>
      </w:r>
      <w:r w:rsidR="00436CC7">
        <w:rPr>
          <w:rFonts w:eastAsia="Times New Roman"/>
        </w:rPr>
        <w:t>9am</w:t>
      </w:r>
      <w:r w:rsidR="00436CC7" w:rsidRPr="004634F9">
        <w:rPr>
          <w:rFonts w:eastAsia="Times New Roman"/>
        </w:rPr>
        <w:t xml:space="preserve"> (Irish time) on </w:t>
      </w:r>
      <w:r w:rsidR="00530750">
        <w:rPr>
          <w:rFonts w:eastAsia="Times New Roman"/>
        </w:rPr>
        <w:t xml:space="preserve">6 </w:t>
      </w:r>
      <w:r w:rsidR="004D29B5">
        <w:rPr>
          <w:rFonts w:eastAsia="Times New Roman"/>
        </w:rPr>
        <w:t>March</w:t>
      </w:r>
      <w:r w:rsidR="00926FF5">
        <w:rPr>
          <w:rFonts w:eastAsia="Times New Roman"/>
        </w:rPr>
        <w:t xml:space="preserve"> 2024 </w:t>
      </w:r>
      <w:r w:rsidR="00436CC7" w:rsidRPr="004634F9">
        <w:rPr>
          <w:rFonts w:eastAsia="Times New Roman"/>
        </w:rPr>
        <w:t xml:space="preserve">to </w:t>
      </w:r>
      <w:r w:rsidR="00436CC7">
        <w:rPr>
          <w:rFonts w:eastAsia="Times New Roman"/>
        </w:rPr>
        <w:t>5</w:t>
      </w:r>
      <w:r w:rsidR="00436CC7" w:rsidRPr="004634F9">
        <w:rPr>
          <w:rFonts w:eastAsia="Times New Roman"/>
        </w:rPr>
        <w:t xml:space="preserve">pm (Irish time) on </w:t>
      </w:r>
      <w:r w:rsidR="00530750">
        <w:rPr>
          <w:rFonts w:eastAsia="Times New Roman"/>
        </w:rPr>
        <w:t>3</w:t>
      </w:r>
      <w:r w:rsidR="004D29B5">
        <w:rPr>
          <w:rFonts w:eastAsia="Times New Roman"/>
        </w:rPr>
        <w:t xml:space="preserve"> September</w:t>
      </w:r>
      <w:r w:rsidR="00926FF5">
        <w:rPr>
          <w:rFonts w:eastAsia="Times New Roman"/>
        </w:rPr>
        <w:t xml:space="preserve"> 2024 </w:t>
      </w:r>
      <w:r w:rsidR="00436CC7" w:rsidRPr="004634F9">
        <w:rPr>
          <w:rFonts w:eastAsia="Times New Roman"/>
        </w:rPr>
        <w:t>or such shorter or longer period as the Manager may determine on behalf of the Sub-Fund and notify to the Administrator. Where the initial offer period is shortened or extended, the Manager will notify the Central Bank in accordance with the Central Bank's requirements.</w:t>
      </w:r>
    </w:p>
    <w:p w14:paraId="27980BCD" w14:textId="14412501" w:rsidR="00E15F9F" w:rsidRPr="00E15F9F" w:rsidRDefault="00E15F9F" w:rsidP="00E15F9F">
      <w:r w:rsidRPr="00E15F9F">
        <w:rPr>
          <w:b/>
        </w:rPr>
        <w:t xml:space="preserve">Initial Offer Price </w:t>
      </w:r>
      <w:r w:rsidRPr="00E15F9F">
        <w:t xml:space="preserve">will be USD $100 per USD-denominated Share, EUR €100 per EUR-denominated Share, and GBP £100 per GBP-denominated Share during the Initial Offer Period. </w:t>
      </w:r>
    </w:p>
    <w:p w14:paraId="0F0989AC" w14:textId="223563B8" w:rsidR="00E15F9F" w:rsidRPr="00E15F9F" w:rsidRDefault="00E15F9F" w:rsidP="00E15F9F">
      <w:r w:rsidRPr="00E15F9F">
        <w:rPr>
          <w:b/>
        </w:rPr>
        <w:t xml:space="preserve">Minimum Shareholding </w:t>
      </w:r>
      <w:r w:rsidRPr="00E15F9F">
        <w:t>means:</w:t>
      </w:r>
    </w:p>
    <w:p w14:paraId="1FF59A21" w14:textId="77777777" w:rsidR="00E15F9F" w:rsidRPr="00E15F9F" w:rsidRDefault="00E15F9F" w:rsidP="00E15F9F">
      <w:r w:rsidRPr="00E15F9F">
        <w:t>Class C Institutional Class EUR</w:t>
      </w:r>
      <w:r w:rsidRPr="00E15F9F">
        <w:tab/>
        <w:t xml:space="preserve"> €</w:t>
      </w:r>
      <w:r w:rsidR="00AB38EF">
        <w:t>50,000</w:t>
      </w:r>
    </w:p>
    <w:p w14:paraId="2C26A507" w14:textId="77777777" w:rsidR="00E15F9F" w:rsidRPr="00E15F9F" w:rsidRDefault="00E15F9F" w:rsidP="00E15F9F">
      <w:r w:rsidRPr="00E15F9F">
        <w:t>Class C Institutional Class GBP £</w:t>
      </w:r>
      <w:r w:rsidR="00AB38EF">
        <w:t>50,000</w:t>
      </w:r>
    </w:p>
    <w:p w14:paraId="6195CA7E" w14:textId="77777777" w:rsidR="00E15F9F" w:rsidRPr="00E15F9F" w:rsidRDefault="00E15F9F" w:rsidP="00E15F9F">
      <w:r w:rsidRPr="00E15F9F">
        <w:t>Class C Ins</w:t>
      </w:r>
      <w:r w:rsidR="00AB38EF">
        <w:t>titutional Class USD $50,000</w:t>
      </w:r>
    </w:p>
    <w:p w14:paraId="4A863284" w14:textId="77777777" w:rsidR="00E15F9F" w:rsidRPr="00E15F9F" w:rsidRDefault="00E15F9F" w:rsidP="00E15F9F">
      <w:pPr>
        <w:pStyle w:val="L2Para"/>
        <w:ind w:left="0"/>
        <w:rPr>
          <w:rFonts w:eastAsia="Times New Roman"/>
        </w:rPr>
      </w:pPr>
      <w:r w:rsidRPr="00E15F9F">
        <w:rPr>
          <w:rFonts w:eastAsia="Times New Roman"/>
          <w:b/>
        </w:rPr>
        <w:t xml:space="preserve">Settlement Date </w:t>
      </w:r>
      <w:r w:rsidRPr="00E15F9F">
        <w:rPr>
          <w:rFonts w:eastAsia="Times New Roman"/>
        </w:rPr>
        <w:t>means, in the</w:t>
      </w:r>
      <w:r w:rsidR="00AB38EF">
        <w:rPr>
          <w:rFonts w:eastAsia="Times New Roman"/>
        </w:rPr>
        <w:t xml:space="preserve"> case of subscriptions, within </w:t>
      </w:r>
      <w:r w:rsidRPr="00E15F9F">
        <w:rPr>
          <w:rFonts w:eastAsia="Times New Roman"/>
        </w:rPr>
        <w:t>three Business Days after the Dealing Day in question or such other time as the Directors may agree provided that the Application Form is received by the Dealing Deadline. In the case of redemptions, provided all documentation required by the Administrator, including that required for anti-money laundering purposes, has been received by the Administrator, proceeds will usually be paid (by wire transfer to a specified account at the Shareholder's risk and expense or by negotiable instrument) within four Business Days or such other time as the Directors may agree after the later of (i) the Dealing Day in question; or (ii) the receipt of the relevant duly signed redemption documentation.</w:t>
      </w:r>
    </w:p>
    <w:p w14:paraId="194CDDA1" w14:textId="77777777" w:rsidR="00E15F9F" w:rsidRPr="00E15F9F" w:rsidRDefault="00E15F9F" w:rsidP="00E15F9F">
      <w:pPr>
        <w:pStyle w:val="L2Para"/>
        <w:ind w:left="0"/>
        <w:rPr>
          <w:rFonts w:eastAsia="Times New Roman"/>
        </w:rPr>
      </w:pPr>
      <w:r w:rsidRPr="00E15F9F">
        <w:rPr>
          <w:rFonts w:eastAsia="Times New Roman"/>
          <w:b/>
        </w:rPr>
        <w:t xml:space="preserve">Valuation Point </w:t>
      </w:r>
      <w:r w:rsidR="00A51E86">
        <w:rPr>
          <w:rFonts w:eastAsia="Times New Roman"/>
        </w:rPr>
        <w:t>means the c</w:t>
      </w:r>
      <w:r w:rsidRPr="00E15F9F">
        <w:rPr>
          <w:rFonts w:eastAsia="Times New Roman"/>
        </w:rPr>
        <w:t>lose of business in New York on the relevant Dealing Day or such other time as the Directors may determine from time to time and notify in advance to Shareholders.</w:t>
      </w:r>
    </w:p>
    <w:p w14:paraId="34DF1DA4" w14:textId="77777777" w:rsidR="00E15F9F" w:rsidRPr="00E15F9F" w:rsidRDefault="00E15F9F" w:rsidP="00E15F9F">
      <w:pPr>
        <w:pStyle w:val="L2Para"/>
        <w:ind w:left="0"/>
        <w:rPr>
          <w:rFonts w:eastAsia="Times New Roman"/>
        </w:rPr>
      </w:pPr>
      <w:r w:rsidRPr="00E15F9F">
        <w:rPr>
          <w:b/>
        </w:rPr>
        <w:t>Notification of Prices</w:t>
      </w:r>
    </w:p>
    <w:p w14:paraId="6E80E03C" w14:textId="77777777" w:rsidR="00E15F9F" w:rsidRPr="00E15F9F" w:rsidRDefault="00E15F9F" w:rsidP="00E15F9F">
      <w:pPr>
        <w:pStyle w:val="L2Para"/>
        <w:ind w:left="0"/>
        <w:rPr>
          <w:rFonts w:eastAsia="Times New Roman"/>
        </w:rPr>
      </w:pPr>
      <w:r w:rsidRPr="00E15F9F">
        <w:rPr>
          <w:rFonts w:eastAsia="Times New Roman"/>
        </w:rPr>
        <w:lastRenderedPageBreak/>
        <w:t>The Net Asset Value per Share of each Class of Shares in each Sub-Fund will be available from the office of the Administrator and on the following website: www.quaysidefunds.com and such other place as the Directors may decide from time to time and as notified to Shareholders in advance.</w:t>
      </w:r>
    </w:p>
    <w:p w14:paraId="61275ED2" w14:textId="753F40D7" w:rsidR="00E15F9F" w:rsidRPr="00E15F9F" w:rsidRDefault="00E15F9F" w:rsidP="00E15F9F">
      <w:pPr>
        <w:pStyle w:val="L2Para"/>
        <w:ind w:left="0"/>
        <w:rPr>
          <w:rFonts w:eastAsia="Times New Roman"/>
        </w:rPr>
      </w:pPr>
      <w:r w:rsidRPr="00E15F9F">
        <w:rPr>
          <w:rFonts w:eastAsia="Times New Roman"/>
          <w:b/>
        </w:rPr>
        <w:t>Minimum Sub-Fund Size</w:t>
      </w:r>
    </w:p>
    <w:p w14:paraId="3E6D9666" w14:textId="2B286B72" w:rsidR="00E15F9F" w:rsidRPr="00E15F9F" w:rsidRDefault="00E15F9F" w:rsidP="00E15F9F">
      <w:pPr>
        <w:pStyle w:val="L2Para"/>
        <w:ind w:left="0"/>
        <w:rPr>
          <w:rFonts w:eastAsia="Times New Roman"/>
        </w:rPr>
      </w:pPr>
      <w:r w:rsidRPr="00E15F9F">
        <w:rPr>
          <w:rFonts w:eastAsia="Times New Roman"/>
        </w:rPr>
        <w:t xml:space="preserve">The minimum size of the Sub-Fund will be </w:t>
      </w:r>
      <w:r w:rsidR="007A0B73" w:rsidRPr="00E133B8">
        <w:rPr>
          <w:rFonts w:eastAsia="Times New Roman"/>
        </w:rPr>
        <w:t>£5million</w:t>
      </w:r>
      <w:r w:rsidR="007A0B73">
        <w:rPr>
          <w:rFonts w:eastAsia="Times New Roman"/>
        </w:rPr>
        <w:t xml:space="preserve"> </w:t>
      </w:r>
      <w:r w:rsidRPr="00E15F9F">
        <w:rPr>
          <w:rFonts w:eastAsia="Times New Roman"/>
        </w:rPr>
        <w:t>or foreign currency equivalent thereof or such other amount as may be determined by the Directors at their discretion. When the s</w:t>
      </w:r>
      <w:r w:rsidR="00927530">
        <w:rPr>
          <w:rFonts w:eastAsia="Times New Roman"/>
        </w:rPr>
        <w:t>ize of the Sub-Fund is below £5millio</w:t>
      </w:r>
      <w:r w:rsidRPr="00E15F9F">
        <w:rPr>
          <w:rFonts w:eastAsia="Times New Roman"/>
        </w:rPr>
        <w:t xml:space="preserve">n or foreign currency equivalent, the Directors of the ICAV may compulsorily redeem all of the Shares of the Sub-Fund in accordance with the </w:t>
      </w:r>
      <w:r w:rsidRPr="00E15F9F">
        <w:rPr>
          <w:rFonts w:eastAsia="Times New Roman"/>
          <w:b/>
        </w:rPr>
        <w:t>Mandatory Redemptions</w:t>
      </w:r>
      <w:r w:rsidRPr="00E15F9F">
        <w:rPr>
          <w:rFonts w:eastAsia="Times New Roman"/>
        </w:rPr>
        <w:t xml:space="preserve"> section of the Prospectus.</w:t>
      </w:r>
    </w:p>
    <w:p w14:paraId="0D2FA76A" w14:textId="7E0074A9" w:rsidR="00E15F9F" w:rsidRPr="00E15F9F" w:rsidRDefault="00E15F9F" w:rsidP="00E15F9F">
      <w:pPr>
        <w:pStyle w:val="Heading1"/>
        <w:numPr>
          <w:ilvl w:val="0"/>
          <w:numId w:val="17"/>
        </w:numPr>
      </w:pPr>
      <w:bookmarkStart w:id="9" w:name="_Toc10131014"/>
      <w:r w:rsidRPr="00E15F9F">
        <w:t>Charges AND Expenses</w:t>
      </w:r>
      <w:bookmarkEnd w:id="9"/>
    </w:p>
    <w:p w14:paraId="7836579C" w14:textId="77777777" w:rsidR="00E15F9F" w:rsidRPr="00E15F9F" w:rsidRDefault="00E15F9F" w:rsidP="00E15F9F">
      <w:pPr>
        <w:pStyle w:val="L2Para"/>
        <w:ind w:left="0"/>
      </w:pPr>
      <w:r w:rsidRPr="00E15F9F">
        <w:t>The ICAV shall pay from the assets of the Sub-Fund the following fees to the Depositary and the Administrator together with value added tax thereon, if applicable.</w:t>
      </w:r>
    </w:p>
    <w:p w14:paraId="57CBEE29" w14:textId="4AF55BCC" w:rsidR="00E15F9F" w:rsidRPr="00E15F9F" w:rsidRDefault="00386539" w:rsidP="00E15F9F">
      <w:pPr>
        <w:pStyle w:val="L2Para"/>
        <w:ind w:left="0"/>
        <w:rPr>
          <w:rFonts w:eastAsia="Times New Roman"/>
        </w:rPr>
      </w:pPr>
      <w:r w:rsidRPr="004634F9">
        <w:rPr>
          <w:rFonts w:eastAsia="Times New Roman"/>
        </w:rPr>
        <w:t xml:space="preserve">The ICAV shall pay the </w:t>
      </w:r>
      <w:r w:rsidRPr="004634F9">
        <w:t>Depositary</w:t>
      </w:r>
      <w:r w:rsidRPr="004634F9">
        <w:rPr>
          <w:rFonts w:eastAsia="Times New Roman"/>
        </w:rPr>
        <w:t xml:space="preserve"> a base fee up to a maximum </w:t>
      </w:r>
      <w:r w:rsidRPr="006D01AF">
        <w:rPr>
          <w:rFonts w:eastAsia="Times New Roman"/>
        </w:rPr>
        <w:t>0.</w:t>
      </w:r>
      <w:r w:rsidR="00DE2679">
        <w:rPr>
          <w:rFonts w:eastAsia="Times New Roman"/>
        </w:rPr>
        <w:t>1</w:t>
      </w:r>
      <w:r w:rsidRPr="006D01AF">
        <w:rPr>
          <w:rFonts w:eastAsia="Times New Roman"/>
        </w:rPr>
        <w:t>%</w:t>
      </w:r>
      <w:r w:rsidRPr="004634F9">
        <w:rPr>
          <w:rFonts w:eastAsia="Times New Roman"/>
        </w:rPr>
        <w:t xml:space="preserve"> of the Net Asset Value of the Sub-Fund accrued on each Dealing Day and payable monthly in arrears</w:t>
      </w:r>
      <w:r w:rsidR="00E15F9F" w:rsidRPr="00E15F9F">
        <w:rPr>
          <w:rFonts w:eastAsia="Times New Roman"/>
        </w:rPr>
        <w:t>.</w:t>
      </w:r>
    </w:p>
    <w:p w14:paraId="457C89B7" w14:textId="4EA6F9B8" w:rsidR="00E15F9F" w:rsidRPr="00E15F9F" w:rsidRDefault="00B81A10" w:rsidP="00E15F9F">
      <w:pPr>
        <w:pStyle w:val="L2Para"/>
        <w:ind w:left="0"/>
        <w:rPr>
          <w:rFonts w:eastAsia="Times New Roman"/>
        </w:rPr>
      </w:pPr>
      <w:r>
        <w:rPr>
          <w:rFonts w:eastAsia="Times New Roman"/>
        </w:rPr>
        <w:t xml:space="preserve">The ICAV shall pay the Administrator a fee which shall not exceed </w:t>
      </w:r>
      <w:r w:rsidRPr="006D01AF">
        <w:rPr>
          <w:rFonts w:eastAsia="Times New Roman"/>
        </w:rPr>
        <w:t>0.</w:t>
      </w:r>
      <w:r w:rsidR="00DE2679">
        <w:rPr>
          <w:rFonts w:eastAsia="Times New Roman"/>
        </w:rPr>
        <w:t>1</w:t>
      </w:r>
      <w:r w:rsidRPr="006D01AF">
        <w:rPr>
          <w:rFonts w:eastAsia="Times New Roman"/>
        </w:rPr>
        <w:t>%</w:t>
      </w:r>
      <w:r>
        <w:rPr>
          <w:rFonts w:eastAsia="Times New Roman"/>
        </w:rPr>
        <w:t xml:space="preserve"> of the Net Asset Value of the Sub-Fund. The Administrator shall be entitled to a minimum fee per Sub-Fund of €36,000 per annum as accrued on each Dealing Day and payable monthly in arrears</w:t>
      </w:r>
      <w:r w:rsidR="00E15F9F" w:rsidRPr="00E15F9F">
        <w:rPr>
          <w:rFonts w:eastAsia="Times New Roman"/>
        </w:rPr>
        <w:t>.</w:t>
      </w:r>
    </w:p>
    <w:p w14:paraId="55BBFDC2" w14:textId="77777777" w:rsidR="00E15F9F" w:rsidRPr="00E15F9F" w:rsidRDefault="00E15F9F" w:rsidP="00E15F9F">
      <w:pPr>
        <w:pStyle w:val="L2Para"/>
        <w:ind w:left="0"/>
        <w:rPr>
          <w:rFonts w:eastAsia="Times New Roman"/>
        </w:rPr>
      </w:pPr>
      <w:r w:rsidRPr="00E15F9F">
        <w:rPr>
          <w:rFonts w:eastAsia="Times New Roman"/>
        </w:rPr>
        <w:t xml:space="preserve">The Administrator is also entitled to receive a fee for the maintenance of the share register and investor accounts as well as processing investor transactions at normal commercial rates. </w:t>
      </w:r>
    </w:p>
    <w:p w14:paraId="2802D1DF" w14:textId="77777777" w:rsidR="00E15F9F" w:rsidRPr="00E15F9F" w:rsidRDefault="00E15F9F" w:rsidP="00E15F9F">
      <w:pPr>
        <w:pStyle w:val="L2Para"/>
        <w:ind w:left="0"/>
        <w:rPr>
          <w:rFonts w:eastAsia="Times New Roman"/>
        </w:rPr>
      </w:pPr>
      <w:r w:rsidRPr="00E15F9F">
        <w:rPr>
          <w:rFonts w:eastAsia="Times New Roman"/>
        </w:rPr>
        <w:t xml:space="preserve">The </w:t>
      </w:r>
      <w:r w:rsidRPr="00E15F9F">
        <w:t>Depositary</w:t>
      </w:r>
      <w:r w:rsidRPr="00E15F9F">
        <w:rPr>
          <w:rFonts w:eastAsia="Times New Roman"/>
        </w:rPr>
        <w:t xml:space="preserve"> and Administrator will also be entitled to be reimbursed their reasonable out-of-pocket expenses from the assets of the Sub-Fund.</w:t>
      </w:r>
    </w:p>
    <w:p w14:paraId="0F3A1C0D" w14:textId="19E2E595" w:rsidR="00E15F9F" w:rsidRPr="00E15F9F" w:rsidRDefault="00E15F9F" w:rsidP="00E15F9F">
      <w:r w:rsidRPr="00E15F9F">
        <w:t xml:space="preserve">The Management Fee shall accrue and be calculated on each Dealing Day and be payable monthly in arrears out of the assets of the Sub-Fund.  Fees payable to the Manager will be paid from the Management Fee which shall not exceed </w:t>
      </w:r>
      <w:r w:rsidRPr="006D01AF">
        <w:t>0.</w:t>
      </w:r>
      <w:r w:rsidR="00DE2679">
        <w:t>12</w:t>
      </w:r>
      <w:r w:rsidRPr="006D01AF">
        <w:t>%</w:t>
      </w:r>
      <w:r w:rsidRPr="00E15F9F">
        <w:t xml:space="preserve"> of the Net Asset Value of the Sub-Fund. The Manager will also be entitled to be reimbursed out of the assets of the Sub-Fund for all its own reasonable out of pocket costs and expenses at normal commercial rates.</w:t>
      </w:r>
    </w:p>
    <w:p w14:paraId="4352CF80" w14:textId="5F2095CF" w:rsidR="00E15F9F" w:rsidRPr="00E15F9F" w:rsidRDefault="00E15F9F" w:rsidP="00E15F9F">
      <w:pPr>
        <w:pStyle w:val="L2Para"/>
        <w:ind w:left="0"/>
        <w:rPr>
          <w:rFonts w:eastAsia="Times New Roman"/>
        </w:rPr>
      </w:pPr>
      <w:r w:rsidRPr="00E15F9F">
        <w:rPr>
          <w:rFonts w:eastAsia="Times New Roman"/>
        </w:rPr>
        <w:t>The Investment Mana</w:t>
      </w:r>
      <w:r w:rsidR="00AB38EF">
        <w:rPr>
          <w:rFonts w:eastAsia="Times New Roman"/>
        </w:rPr>
        <w:t xml:space="preserve">gement Fee shall accrue and be </w:t>
      </w:r>
      <w:r w:rsidRPr="00E15F9F">
        <w:rPr>
          <w:rFonts w:eastAsia="Times New Roman"/>
        </w:rPr>
        <w:t>calculated on each Dealing Day an</w:t>
      </w:r>
      <w:r w:rsidR="00AB38EF">
        <w:rPr>
          <w:rFonts w:eastAsia="Times New Roman"/>
        </w:rPr>
        <w:t>d be payable monthly in arrears</w:t>
      </w:r>
      <w:r w:rsidRPr="00E15F9F">
        <w:rPr>
          <w:rFonts w:eastAsia="Times New Roman"/>
        </w:rPr>
        <w:t xml:space="preserve"> out of the assets of the Sub-Fund.  The Investment Management Fee which shall not exceed </w:t>
      </w:r>
      <w:r w:rsidRPr="006D01AF">
        <w:rPr>
          <w:rFonts w:eastAsia="Times New Roman"/>
        </w:rPr>
        <w:t>0.</w:t>
      </w:r>
      <w:r w:rsidR="00DE2679">
        <w:rPr>
          <w:rFonts w:eastAsia="Times New Roman"/>
        </w:rPr>
        <w:t>1</w:t>
      </w:r>
      <w:r w:rsidRPr="006D01AF">
        <w:rPr>
          <w:rFonts w:eastAsia="Times New Roman"/>
        </w:rPr>
        <w:t>%</w:t>
      </w:r>
      <w:r w:rsidRPr="00E15F9F">
        <w:rPr>
          <w:rFonts w:eastAsia="Times New Roman"/>
        </w:rPr>
        <w:t xml:space="preserve"> of the Net Asset Value of the Sub-Fund will be payable to the </w:t>
      </w:r>
      <w:r w:rsidR="007A0B73">
        <w:rPr>
          <w:rFonts w:eastAsia="Times New Roman"/>
        </w:rPr>
        <w:t xml:space="preserve">Discretionary </w:t>
      </w:r>
      <w:r w:rsidRPr="00E15F9F">
        <w:t>Investment Manager</w:t>
      </w:r>
      <w:r w:rsidRPr="00E15F9F">
        <w:rPr>
          <w:rFonts w:eastAsia="Times New Roman"/>
        </w:rPr>
        <w:t xml:space="preserve"> by the ICAV. The </w:t>
      </w:r>
      <w:r w:rsidR="007A0B73">
        <w:rPr>
          <w:rFonts w:eastAsia="Times New Roman"/>
        </w:rPr>
        <w:t>Discretionary</w:t>
      </w:r>
      <w:r w:rsidR="007A0B73" w:rsidRPr="00E15F9F">
        <w:t xml:space="preserve"> </w:t>
      </w:r>
      <w:r w:rsidRPr="00E15F9F">
        <w:t>Investment Manager</w:t>
      </w:r>
      <w:r w:rsidRPr="00E15F9F">
        <w:rPr>
          <w:rFonts w:eastAsia="Times New Roman"/>
        </w:rPr>
        <w:t xml:space="preserve"> will also be entitled to be reimbursed out of the assets of the Sub-Fund for all its own reasonable out of pocket costs and expenses at normal commercial rates.</w:t>
      </w:r>
    </w:p>
    <w:p w14:paraId="5AEF44DB" w14:textId="6A5A4703" w:rsidR="00E15F9F" w:rsidRPr="00E15F9F" w:rsidRDefault="00E15F9F" w:rsidP="00E15F9F">
      <w:pPr>
        <w:spacing w:after="120"/>
        <w:rPr>
          <w:lang w:val="en-GB"/>
        </w:rPr>
      </w:pPr>
      <w:r w:rsidRPr="00E15F9F">
        <w:rPr>
          <w:lang w:val="en-GB"/>
        </w:rPr>
        <w:t xml:space="preserve">The maximum level of the management fee that may be charged by each of the Target Funds in which the </w:t>
      </w:r>
      <w:r w:rsidRPr="00E15F9F">
        <w:t>Sub-Fund</w:t>
      </w:r>
      <w:r w:rsidRPr="00E15F9F">
        <w:rPr>
          <w:lang w:val="en-GB"/>
        </w:rPr>
        <w:t xml:space="preserve"> invests </w:t>
      </w:r>
      <w:r w:rsidRPr="00AB38EF">
        <w:rPr>
          <w:lang w:val="en-GB"/>
        </w:rPr>
        <w:t>will not exceed</w:t>
      </w:r>
      <w:r w:rsidR="007C4595">
        <w:rPr>
          <w:lang w:val="en-GB"/>
        </w:rPr>
        <w:t xml:space="preserve"> </w:t>
      </w:r>
      <w:r w:rsidR="006D01AF" w:rsidRPr="006D01AF">
        <w:rPr>
          <w:lang w:val="en-GB"/>
        </w:rPr>
        <w:t>0.</w:t>
      </w:r>
      <w:r w:rsidR="00DE2679">
        <w:rPr>
          <w:lang w:val="en-GB"/>
        </w:rPr>
        <w:t>1</w:t>
      </w:r>
      <w:r w:rsidRPr="006D01AF">
        <w:rPr>
          <w:szCs w:val="24"/>
        </w:rPr>
        <w:t>%</w:t>
      </w:r>
      <w:r w:rsidRPr="00E15F9F">
        <w:rPr>
          <w:szCs w:val="24"/>
        </w:rPr>
        <w:t xml:space="preserve"> </w:t>
      </w:r>
      <w:r w:rsidRPr="00E15F9F">
        <w:rPr>
          <w:lang w:val="en-GB"/>
        </w:rPr>
        <w:t>per annum of the net asset value of each of the Target Funds. Details of such fees will also be contained in the ICAV’s annual report.</w:t>
      </w:r>
    </w:p>
    <w:p w14:paraId="283159DB" w14:textId="7D1F77B1" w:rsidR="00E15F9F" w:rsidRDefault="00E15F9F" w:rsidP="00E15F9F">
      <w:pPr>
        <w:spacing w:after="120"/>
      </w:pPr>
      <w:r w:rsidRPr="00E15F9F">
        <w:t xml:space="preserve">A Preliminary Charge of up to </w:t>
      </w:r>
      <w:r w:rsidR="006D3558">
        <w:t>3</w:t>
      </w:r>
      <w:r w:rsidR="00DE2679">
        <w:t>%</w:t>
      </w:r>
      <w:r w:rsidRPr="00E15F9F">
        <w:t xml:space="preserve"> of the Issue Price of the Institutional Classes may be charged at the discretion of the Directors for payment to the Manager or any distributor appointed by the Manager in respect of the </w:t>
      </w:r>
      <w:r w:rsidR="009B160B">
        <w:t>Sub-Fund.</w:t>
      </w:r>
    </w:p>
    <w:p w14:paraId="22C6260E" w14:textId="77777777" w:rsidR="00E15F9F" w:rsidRDefault="00E15F9F" w:rsidP="00E15F9F">
      <w:pPr>
        <w:pStyle w:val="L2Para"/>
        <w:ind w:left="0"/>
        <w:rPr>
          <w:rFonts w:eastAsia="Times New Roman"/>
        </w:rPr>
      </w:pPr>
      <w:r w:rsidRPr="00E15F9F">
        <w:rPr>
          <w:rFonts w:eastAsia="Times New Roman"/>
        </w:rPr>
        <w:t>The Sub-Fund may incur additional charges that are not described above, such as trading related expenses consisting of broker commissions and charges, stamp duties, taxes (not attributable to any fees or expenses covered above) and levies, which will be payable out of the assets of the Sub-Fund and described in the annual report and audited accounts of the ICAV.</w:t>
      </w:r>
    </w:p>
    <w:p w14:paraId="26AE9997" w14:textId="77777777" w:rsidR="002F413B" w:rsidRPr="00076753" w:rsidRDefault="002F413B" w:rsidP="002F413B">
      <w:r w:rsidRPr="000B5C68">
        <w:rPr>
          <w:rFonts w:cs="Arial"/>
        </w:rPr>
        <w:t>The costs of establishing the Sub-Fund will be borne by the</w:t>
      </w:r>
      <w:r w:rsidR="009B160B">
        <w:rPr>
          <w:rFonts w:cs="Arial"/>
        </w:rPr>
        <w:t xml:space="preserve"> </w:t>
      </w:r>
      <w:r>
        <w:rPr>
          <w:rFonts w:cs="Arial"/>
        </w:rPr>
        <w:t>D</w:t>
      </w:r>
      <w:r w:rsidR="009B160B">
        <w:rPr>
          <w:rFonts w:cs="Arial"/>
        </w:rPr>
        <w:t>iscretionary Investment Manager.</w:t>
      </w:r>
    </w:p>
    <w:p w14:paraId="1346F9AB" w14:textId="77777777" w:rsidR="00E15F9F" w:rsidRPr="00E15F9F" w:rsidRDefault="00E15F9F" w:rsidP="00E15F9F">
      <w:pPr>
        <w:pStyle w:val="L2Para"/>
        <w:ind w:left="0"/>
        <w:rPr>
          <w:rFonts w:eastAsia="Times New Roman"/>
        </w:rPr>
      </w:pPr>
      <w:r w:rsidRPr="00E15F9F">
        <w:rPr>
          <w:rFonts w:eastAsia="Times New Roman"/>
          <w:b/>
        </w:rPr>
        <w:t>Anti-Dilution Levy</w:t>
      </w:r>
    </w:p>
    <w:p w14:paraId="24E4D75C" w14:textId="77777777" w:rsidR="00E15F9F" w:rsidRPr="00E15F9F" w:rsidRDefault="00E15F9F" w:rsidP="00E15F9F">
      <w:pPr>
        <w:pStyle w:val="L2Para"/>
        <w:ind w:left="0"/>
        <w:rPr>
          <w:rFonts w:eastAsia="Times New Roman"/>
        </w:rPr>
      </w:pPr>
      <w:r w:rsidRPr="00E15F9F">
        <w:rPr>
          <w:rFonts w:eastAsia="Times New Roman"/>
        </w:rPr>
        <w:lastRenderedPageBreak/>
        <w:t>When there are net subscriptions or net redemptions the Sub-Fund may add to the subscription price or deduct from the redemption proceeds respectively, an Anti-Dilution Levy. Any such levy will reflect the level of actual transaction costs to the Sub-Fund and shall be retained for the benefit of the Sub-Fund. The Directors reserve the right to waive such levy at any time.</w:t>
      </w:r>
    </w:p>
    <w:p w14:paraId="7A26ADC6" w14:textId="77777777" w:rsidR="00E15F9F" w:rsidRPr="00E15F9F" w:rsidRDefault="00E15F9F" w:rsidP="00E15F9F">
      <w:pPr>
        <w:pStyle w:val="L2Para"/>
        <w:ind w:left="0"/>
        <w:rPr>
          <w:rFonts w:eastAsia="Times New Roman"/>
        </w:rPr>
      </w:pPr>
      <w:r w:rsidRPr="00E15F9F">
        <w:rPr>
          <w:rFonts w:eastAsia="Times New Roman"/>
        </w:rPr>
        <w:t xml:space="preserve">This </w:t>
      </w:r>
      <w:r w:rsidRPr="00E15F9F">
        <w:rPr>
          <w:rFonts w:eastAsia="Times New Roman"/>
          <w:b/>
        </w:rPr>
        <w:t>Charges and Expenses</w:t>
      </w:r>
      <w:r w:rsidRPr="00E15F9F">
        <w:rPr>
          <w:rFonts w:eastAsia="Times New Roman"/>
        </w:rPr>
        <w:t xml:space="preserve"> section should be read in conjunction with the section in the Prospectus entitled </w:t>
      </w:r>
      <w:r w:rsidRPr="00E15F9F">
        <w:rPr>
          <w:rFonts w:eastAsia="Times New Roman"/>
          <w:b/>
        </w:rPr>
        <w:t>Fees and Expenses</w:t>
      </w:r>
      <w:r w:rsidRPr="00E15F9F">
        <w:rPr>
          <w:rFonts w:eastAsia="Times New Roman"/>
        </w:rPr>
        <w:t>.</w:t>
      </w:r>
    </w:p>
    <w:p w14:paraId="38E57E77" w14:textId="77777777" w:rsidR="00E15F9F" w:rsidRPr="00E15F9F" w:rsidRDefault="00E15F9F" w:rsidP="00E15F9F">
      <w:pPr>
        <w:pStyle w:val="Heading1"/>
        <w:numPr>
          <w:ilvl w:val="0"/>
          <w:numId w:val="17"/>
        </w:numPr>
      </w:pPr>
      <w:bookmarkStart w:id="10" w:name="_Toc10131015"/>
      <w:r w:rsidRPr="00E15F9F">
        <w:t>Dividend Policy</w:t>
      </w:r>
      <w:bookmarkEnd w:id="10"/>
    </w:p>
    <w:p w14:paraId="573166AF" w14:textId="77777777" w:rsidR="00E15F9F" w:rsidRPr="00E15F9F" w:rsidRDefault="00E15F9F" w:rsidP="00E15F9F">
      <w:pPr>
        <w:pStyle w:val="L2Para"/>
        <w:ind w:left="0"/>
      </w:pPr>
      <w:r w:rsidRPr="00E15F9F">
        <w:t>Currently the Directors anticipate that there will be no dividend distributions in respect of the Share Classes. Accordingly, income and capital gains arising in respect of the Share Classes will be re-invested in the relevant Sub-Fund and reflected in the Net Asset Value per Share of the relevant Sub-Fund.</w:t>
      </w:r>
    </w:p>
    <w:p w14:paraId="1D3D1E0B" w14:textId="77777777" w:rsidR="00E15F9F" w:rsidRPr="00E15F9F" w:rsidRDefault="00E15F9F" w:rsidP="00E15F9F">
      <w:pPr>
        <w:pStyle w:val="L2Para"/>
        <w:ind w:left="0"/>
        <w:rPr>
          <w:rFonts w:eastAsia="Times New Roman"/>
        </w:rPr>
      </w:pPr>
      <w:r w:rsidRPr="00E15F9F">
        <w:rPr>
          <w:rFonts w:eastAsia="Times New Roman"/>
        </w:rPr>
        <w:t>Any change to the Dividend Policy of any of the Share Classes of the Sub-Fund will be notified to Shareholders of the relevant Share Class in advance.</w:t>
      </w:r>
    </w:p>
    <w:p w14:paraId="4CB65700" w14:textId="77777777" w:rsidR="00E15F9F" w:rsidRPr="00E15F9F" w:rsidRDefault="00E15F9F" w:rsidP="00E15F9F">
      <w:pPr>
        <w:pStyle w:val="L2Para"/>
        <w:ind w:left="0"/>
        <w:rPr>
          <w:rFonts w:eastAsia="Times New Roman"/>
        </w:rPr>
      </w:pPr>
      <w:r w:rsidRPr="00E15F9F">
        <w:rPr>
          <w:rFonts w:eastAsia="Times New Roman"/>
        </w:rPr>
        <w:t>The dividend distribution policy in respect of any future Share Classes created together with details of methods of payment of dividends and frequency of payments will be specified in an updated version of the Supplement reflecting the creation of the new Share Classes.</w:t>
      </w:r>
    </w:p>
    <w:p w14:paraId="0A346E06" w14:textId="77777777" w:rsidR="00E15F9F" w:rsidRPr="00E15F9F" w:rsidRDefault="00E15F9F" w:rsidP="00E15F9F">
      <w:pPr>
        <w:pStyle w:val="L2Para"/>
        <w:ind w:left="0"/>
        <w:rPr>
          <w:rFonts w:eastAsia="Times New Roman"/>
        </w:rPr>
      </w:pPr>
      <w:r w:rsidRPr="00E15F9F">
        <w:rPr>
          <w:rFonts w:eastAsia="Times New Roman"/>
        </w:rPr>
        <w:t xml:space="preserve">This section should be read in conjunction with the </w:t>
      </w:r>
      <w:r w:rsidRPr="00E15F9F">
        <w:rPr>
          <w:rFonts w:eastAsia="Times New Roman"/>
          <w:b/>
        </w:rPr>
        <w:t xml:space="preserve">Dividend Policy </w:t>
      </w:r>
      <w:r w:rsidRPr="00E15F9F">
        <w:rPr>
          <w:rFonts w:eastAsia="Times New Roman"/>
        </w:rPr>
        <w:t>section of the Prospectus.</w:t>
      </w:r>
    </w:p>
    <w:p w14:paraId="186D998C" w14:textId="77777777" w:rsidR="00E15F9F" w:rsidRPr="00E15F9F" w:rsidRDefault="00E15F9F" w:rsidP="00E15F9F">
      <w:pPr>
        <w:pStyle w:val="Heading1"/>
        <w:numPr>
          <w:ilvl w:val="0"/>
          <w:numId w:val="17"/>
        </w:numPr>
      </w:pPr>
      <w:bookmarkStart w:id="11" w:name="_Toc10131016"/>
      <w:r w:rsidRPr="00E15F9F">
        <w:t>Subscription FOR Shares</w:t>
      </w:r>
      <w:bookmarkEnd w:id="11"/>
    </w:p>
    <w:p w14:paraId="3FA860A2" w14:textId="77777777" w:rsidR="00E15F9F" w:rsidRPr="00E15F9F" w:rsidRDefault="00E15F9F" w:rsidP="00E15F9F">
      <w:pPr>
        <w:pStyle w:val="L2Para"/>
        <w:ind w:left="0"/>
      </w:pPr>
      <w:r w:rsidRPr="00E15F9F">
        <w:t>Applications for Shares should be made on the Application Form and be submitted in accordance with the provisions set out in the Prospectus to be received by the Administrator on or before the Dealing Deadline for the relevant Dealing Day.</w:t>
      </w:r>
    </w:p>
    <w:p w14:paraId="398FF959" w14:textId="77777777" w:rsidR="00E15F9F" w:rsidRPr="00E15F9F" w:rsidRDefault="00E15F9F" w:rsidP="00E15F9F">
      <w:pPr>
        <w:pStyle w:val="L2Para"/>
        <w:ind w:left="0"/>
        <w:rPr>
          <w:rFonts w:eastAsia="Times New Roman"/>
        </w:rPr>
      </w:pPr>
      <w:r w:rsidRPr="00E15F9F">
        <w:rPr>
          <w:rFonts w:eastAsia="Times New Roman"/>
        </w:rPr>
        <w:t>The Minimum Shareholding must be maintained by each Shareholder in the Sub-Fund (subject to the discretion of the Directors) following any partial redemption, exchange or transfer of Shares.</w:t>
      </w:r>
    </w:p>
    <w:p w14:paraId="635DA4A5" w14:textId="77777777" w:rsidR="00E15F9F" w:rsidRPr="00E15F9F" w:rsidRDefault="00E15F9F" w:rsidP="00E15F9F">
      <w:pPr>
        <w:pStyle w:val="L2Para"/>
        <w:ind w:left="0"/>
        <w:rPr>
          <w:rFonts w:eastAsia="Times New Roman"/>
        </w:rPr>
      </w:pPr>
      <w:r w:rsidRPr="00E15F9F">
        <w:rPr>
          <w:rFonts w:eastAsia="Times New Roman"/>
        </w:rPr>
        <w:t>Payment in respect of the issue of Shares must be made by the relevant Settlement Date by electronic transfer in cleared funds in the currency of the relevant Share Class.</w:t>
      </w:r>
    </w:p>
    <w:p w14:paraId="1A823B90" w14:textId="77777777" w:rsidR="00E15F9F" w:rsidRPr="00E15F9F" w:rsidRDefault="00E15F9F" w:rsidP="00E15F9F">
      <w:pPr>
        <w:pStyle w:val="L2Para"/>
        <w:ind w:left="0"/>
        <w:rPr>
          <w:rFonts w:eastAsia="Times New Roman"/>
        </w:rPr>
      </w:pPr>
      <w:r w:rsidRPr="00E15F9F">
        <w:rPr>
          <w:rFonts w:eastAsia="Times New Roman"/>
        </w:rPr>
        <w:t>The Directors may issue Shares of any Class and, with the consent of the Central Bank and without notice to the Shareholders, create new Classes of Shares on such terms as they may from time to time determine in accordance with the requirements of the Central Bank.  Shares of any particular Class may accommodate different subscriptions and/or redemption and/or dividend provisions and/or charges and/or fee arrangements.</w:t>
      </w:r>
    </w:p>
    <w:p w14:paraId="1133D330" w14:textId="77777777" w:rsidR="00E15F9F" w:rsidRPr="00E15F9F" w:rsidRDefault="00E15F9F" w:rsidP="00E15F9F">
      <w:pPr>
        <w:pStyle w:val="L2Para"/>
        <w:ind w:left="0"/>
        <w:rPr>
          <w:rFonts w:eastAsia="Times New Roman"/>
        </w:rPr>
      </w:pPr>
      <w:r w:rsidRPr="00E15F9F">
        <w:rPr>
          <w:rFonts w:eastAsia="Times New Roman"/>
        </w:rPr>
        <w:t xml:space="preserve">This section should be read in conjunction with the section in the Prospectus entitled </w:t>
      </w:r>
      <w:r w:rsidRPr="00E15F9F">
        <w:rPr>
          <w:rFonts w:eastAsia="Times New Roman"/>
          <w:b/>
        </w:rPr>
        <w:t>Subscription for Shares</w:t>
      </w:r>
      <w:r w:rsidRPr="00E15F9F">
        <w:rPr>
          <w:rFonts w:eastAsia="Times New Roman"/>
        </w:rPr>
        <w:t>.</w:t>
      </w:r>
    </w:p>
    <w:p w14:paraId="0C39A40B" w14:textId="77777777" w:rsidR="00E15F9F" w:rsidRPr="00E15F9F" w:rsidRDefault="00E15F9F" w:rsidP="00E15F9F">
      <w:pPr>
        <w:pStyle w:val="Heading1"/>
        <w:numPr>
          <w:ilvl w:val="0"/>
          <w:numId w:val="17"/>
        </w:numPr>
      </w:pPr>
      <w:bookmarkStart w:id="12" w:name="_Toc10131017"/>
      <w:r w:rsidRPr="00E15F9F">
        <w:t>Redemption OF Shares</w:t>
      </w:r>
      <w:bookmarkEnd w:id="12"/>
    </w:p>
    <w:p w14:paraId="1A56F80A" w14:textId="77777777" w:rsidR="00E15F9F" w:rsidRPr="00E15F9F" w:rsidRDefault="00E15F9F" w:rsidP="00E15F9F">
      <w:pPr>
        <w:pStyle w:val="L2Para"/>
        <w:ind w:left="0"/>
      </w:pPr>
      <w:r w:rsidRPr="00E15F9F">
        <w:t>When the Sub-Fund meets a redemption request in cash, the amount due on the redemption of Shares on a particular Dealing Day will be paid by the relevant Settlement Date by electronic transfer to an account in the name of the Shareholder. Payment of any proceeds of redemption will only be paid after receipt by the Administrator of any relevant redemption documentation (including any anti-money laundering documentation requested.</w:t>
      </w:r>
    </w:p>
    <w:p w14:paraId="15765A66" w14:textId="77777777" w:rsidR="00E15F9F" w:rsidRPr="00E15F9F" w:rsidRDefault="00E15F9F" w:rsidP="00E15F9F">
      <w:pPr>
        <w:pStyle w:val="L2Para"/>
        <w:ind w:left="0"/>
        <w:rPr>
          <w:rFonts w:eastAsia="Times New Roman"/>
        </w:rPr>
      </w:pPr>
      <w:r w:rsidRPr="00E15F9F">
        <w:rPr>
          <w:rFonts w:eastAsia="Times New Roman"/>
        </w:rPr>
        <w:t>No Shareholder shall be entitled to request redemption of part only of its holding of Shares of any Class in the Sub-Fund if such realisation would result in its holding of Shares of such Class after such realisation being below the applicable Minimum Shareholding (subject to the discretion of the Directors).</w:t>
      </w:r>
    </w:p>
    <w:p w14:paraId="7876A875" w14:textId="77777777" w:rsidR="00E15F9F" w:rsidRPr="00E15F9F" w:rsidRDefault="00E15F9F" w:rsidP="00E15F9F">
      <w:pPr>
        <w:pStyle w:val="L2Para"/>
        <w:ind w:left="0"/>
        <w:rPr>
          <w:rFonts w:eastAsia="Times New Roman"/>
        </w:rPr>
      </w:pPr>
      <w:r w:rsidRPr="00E15F9F">
        <w:rPr>
          <w:rFonts w:eastAsia="Times New Roman"/>
        </w:rPr>
        <w:t>In the event that a Shareholder requires payment of redemption proceeds to an account other than that specified in the Application Form, the Shareholder must provide an original request in writing, executed by an authorised signatory of the Shareholder, to the Administrator on or prior to the receipt of the redemption request form.  No third party payments will be made.</w:t>
      </w:r>
    </w:p>
    <w:p w14:paraId="7B29938D" w14:textId="77777777" w:rsidR="00E15F9F" w:rsidRPr="00E15F9F" w:rsidRDefault="00E15F9F" w:rsidP="00E15F9F">
      <w:pPr>
        <w:pStyle w:val="L2Para"/>
        <w:ind w:left="0"/>
        <w:rPr>
          <w:rFonts w:eastAsia="Times New Roman"/>
        </w:rPr>
      </w:pPr>
      <w:r w:rsidRPr="00E15F9F">
        <w:rPr>
          <w:rFonts w:eastAsia="Times New Roman"/>
        </w:rPr>
        <w:lastRenderedPageBreak/>
        <w:t xml:space="preserve">This section should be read in conjunction with the section in the Prospectus entitled </w:t>
      </w:r>
      <w:r w:rsidRPr="00E15F9F">
        <w:rPr>
          <w:rFonts w:eastAsia="Times New Roman"/>
          <w:b/>
        </w:rPr>
        <w:t>Redemption of Shares</w:t>
      </w:r>
      <w:r w:rsidRPr="00E15F9F">
        <w:rPr>
          <w:rFonts w:eastAsia="Times New Roman"/>
        </w:rPr>
        <w:t>.</w:t>
      </w:r>
    </w:p>
    <w:p w14:paraId="050E7C97" w14:textId="77777777" w:rsidR="00E15F9F" w:rsidRPr="00E15F9F" w:rsidRDefault="00E15F9F" w:rsidP="00E15F9F">
      <w:pPr>
        <w:pStyle w:val="Heading1"/>
        <w:numPr>
          <w:ilvl w:val="0"/>
          <w:numId w:val="17"/>
        </w:numPr>
      </w:pPr>
      <w:bookmarkStart w:id="13" w:name="_Toc10131018"/>
      <w:r w:rsidRPr="00E15F9F">
        <w:t>Exchange OF Shares</w:t>
      </w:r>
      <w:bookmarkEnd w:id="13"/>
    </w:p>
    <w:p w14:paraId="17CE63C8" w14:textId="77777777" w:rsidR="00E15F9F" w:rsidRPr="00E15F9F" w:rsidRDefault="00E15F9F" w:rsidP="00E15F9F">
      <w:pPr>
        <w:pStyle w:val="L2Para"/>
        <w:ind w:left="0"/>
      </w:pPr>
      <w:r w:rsidRPr="00E15F9F">
        <w:t xml:space="preserve">As applicable, Shares of the Sub-Fund may only be exchanged for other Shares in the Sub-Fund or for Shares in another Sub-Fund of the ICAV as set out under the heading </w:t>
      </w:r>
      <w:r w:rsidRPr="00E15F9F">
        <w:rPr>
          <w:b/>
        </w:rPr>
        <w:t>Exchange of Shares</w:t>
      </w:r>
      <w:r w:rsidRPr="00E15F9F">
        <w:t xml:space="preserve"> in the Prospectus.</w:t>
      </w:r>
    </w:p>
    <w:p w14:paraId="63D6A89A" w14:textId="77777777" w:rsidR="00E15F9F" w:rsidRPr="00E15F9F" w:rsidRDefault="00E15F9F" w:rsidP="00E15F9F">
      <w:pPr>
        <w:pStyle w:val="Heading1"/>
        <w:numPr>
          <w:ilvl w:val="0"/>
          <w:numId w:val="17"/>
        </w:numPr>
      </w:pPr>
      <w:bookmarkStart w:id="14" w:name="_Toc10131019"/>
      <w:r w:rsidRPr="00E15F9F">
        <w:t>Miscellaneous</w:t>
      </w:r>
      <w:bookmarkEnd w:id="14"/>
    </w:p>
    <w:p w14:paraId="3D0EF795" w14:textId="28AF4A1F" w:rsidR="00E15F9F" w:rsidRPr="00E15F9F" w:rsidRDefault="00E15F9F" w:rsidP="00E15F9F">
      <w:pPr>
        <w:pStyle w:val="L2Para"/>
        <w:ind w:left="0"/>
      </w:pPr>
      <w:r w:rsidRPr="00E15F9F">
        <w:t>At the date of this Supplement,</w:t>
      </w:r>
      <w:r w:rsidR="00025BFD">
        <w:t xml:space="preserve"> </w:t>
      </w:r>
      <w:r w:rsidR="00927530">
        <w:t xml:space="preserve">TAM </w:t>
      </w:r>
      <w:r w:rsidR="00E05733">
        <w:t>Balanced</w:t>
      </w:r>
      <w:r w:rsidR="00927530">
        <w:t xml:space="preserve"> Fund and TAM </w:t>
      </w:r>
      <w:r w:rsidR="00D90240">
        <w:t>Conservative</w:t>
      </w:r>
      <w:r w:rsidR="00927530">
        <w:t xml:space="preserve"> Fund</w:t>
      </w:r>
      <w:r w:rsidRPr="00E15F9F">
        <w:t xml:space="preserve"> are the other available Sub-Funds of the ICAV.</w:t>
      </w:r>
    </w:p>
    <w:p w14:paraId="023CEE97" w14:textId="77777777" w:rsidR="00E15F9F" w:rsidRPr="00E15F9F" w:rsidRDefault="00E15F9F" w:rsidP="00E15F9F"/>
    <w:p w14:paraId="7699DA10" w14:textId="77777777" w:rsidR="00987C14" w:rsidRPr="00E15F9F" w:rsidRDefault="00987C14" w:rsidP="00E15F9F"/>
    <w:sectPr w:rsidR="00987C14" w:rsidRPr="00E15F9F">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151" w:right="1009" w:bottom="1151" w:left="1009" w:header="720" w:footer="43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3B51C" w14:textId="77777777" w:rsidR="00D5335B" w:rsidRDefault="00D5335B">
      <w:pPr>
        <w:spacing w:before="0" w:line="240" w:lineRule="auto"/>
      </w:pPr>
      <w:r>
        <w:separator/>
      </w:r>
    </w:p>
  </w:endnote>
  <w:endnote w:type="continuationSeparator" w:id="0">
    <w:p w14:paraId="7028AF55" w14:textId="77777777" w:rsidR="00D5335B" w:rsidRDefault="00D5335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IVSN E+ Gotha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BD5E" w14:textId="77777777" w:rsidR="001939A9" w:rsidRDefault="0019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9967" w14:textId="1466AB3B" w:rsidR="00987C14" w:rsidRDefault="007A0C0C" w:rsidP="001939A9">
    <w:pPr>
      <w:pStyle w:val="DocID"/>
    </w:pPr>
    <w:sdt>
      <w:sdtPr>
        <w:alias w:val="Outline Content"/>
        <w:tag w:val="98DBEF54F1244F6EA7F1CFEE2A50ECBEDOCID_FOOTER"/>
        <w:id w:val="1034386942"/>
        <w:placeholder>
          <w:docPart w:val="7A71AAA6F8F34CCD859093A9FF88680A"/>
        </w:placeholder>
      </w:sdtPr>
      <w:sdtEndPr/>
      <w:sdtContent>
        <w:r w:rsidR="00765A61">
          <w:t>M-70834892-12</w:t>
        </w:r>
      </w:sdtContent>
    </w:sdt>
    <w:r w:rsidR="007D4E37">
      <w:tab/>
    </w:r>
    <w:r w:rsidR="007D4E37">
      <w:fldChar w:fldCharType="begin"/>
    </w:r>
    <w:r w:rsidR="007D4E37">
      <w:instrText xml:space="preserve"> PAGE   \* MERGEFORMAT </w:instrText>
    </w:r>
    <w:r w:rsidR="007D4E37">
      <w:fldChar w:fldCharType="separate"/>
    </w:r>
    <w:r w:rsidR="0008263A">
      <w:rPr>
        <w:noProof/>
      </w:rPr>
      <w:t>7</w:t>
    </w:r>
    <w:r w:rsidR="007D4E37">
      <w:rPr>
        <w:noProof/>
      </w:rPr>
      <w:fldChar w:fldCharType="end"/>
    </w:r>
    <w:r w:rsidR="007D4E3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F0A3" w14:textId="77777777" w:rsidR="00987C14" w:rsidRDefault="007D4E37">
    <w:pPr>
      <w:tabs>
        <w:tab w:val="right" w:pos="10206"/>
      </w:tabs>
      <w:ind w:right="360"/>
      <w:jc w:val="center"/>
      <w:rPr>
        <w:sz w:val="16"/>
        <w:szCs w:val="24"/>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8595C" w14:textId="77777777" w:rsidR="00D5335B" w:rsidRDefault="00D5335B">
      <w:pPr>
        <w:spacing w:before="0" w:line="240" w:lineRule="auto"/>
      </w:pPr>
      <w:r>
        <w:separator/>
      </w:r>
    </w:p>
  </w:footnote>
  <w:footnote w:type="continuationSeparator" w:id="0">
    <w:p w14:paraId="1FEB5BC2" w14:textId="77777777" w:rsidR="00D5335B" w:rsidRDefault="00D5335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31EE" w14:textId="77777777" w:rsidR="001939A9" w:rsidRDefault="0019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DC5C" w14:textId="77777777" w:rsidR="001939A9" w:rsidRDefault="0019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A74A" w14:textId="77777777" w:rsidR="001939A9" w:rsidRDefault="0019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3266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9682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C86E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DA7E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041A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48AA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A2CA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269C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700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C96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77632"/>
    <w:multiLevelType w:val="hybridMultilevel"/>
    <w:tmpl w:val="5FF0EB2C"/>
    <w:lvl w:ilvl="0" w:tplc="9160ADF6">
      <w:start w:val="1"/>
      <w:numFmt w:val="lowerLetter"/>
      <w:pStyle w:val="Stylea"/>
      <w:lvlText w:val="(%1)"/>
      <w:lvlJc w:val="left"/>
      <w:pPr>
        <w:ind w:left="1644" w:hanging="924"/>
      </w:pPr>
      <w:rPr>
        <w:rFonts w:ascii="Arial" w:hAnsi="Arial" w:hint="default"/>
        <w:b w:val="0"/>
        <w:i w:val="0"/>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05A77E0"/>
    <w:multiLevelType w:val="hybridMultilevel"/>
    <w:tmpl w:val="D9AAD186"/>
    <w:lvl w:ilvl="0" w:tplc="6CFEA672">
      <w:start w:val="1"/>
      <w:numFmt w:val="decimal"/>
      <w:pStyle w:val="Style1"/>
      <w:lvlText w:val="(%1)"/>
      <w:lvlJc w:val="left"/>
      <w:pPr>
        <w:ind w:left="720" w:hanging="72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2" w15:restartNumberingAfterBreak="0">
    <w:nsid w:val="18552CB8"/>
    <w:multiLevelType w:val="hybridMultilevel"/>
    <w:tmpl w:val="1A2433BA"/>
    <w:lvl w:ilvl="0" w:tplc="C63ECDE2">
      <w:start w:val="1"/>
      <w:numFmt w:val="lowerRoman"/>
      <w:pStyle w:val="Stylei"/>
      <w:lvlText w:val="(%1)"/>
      <w:lvlJc w:val="left"/>
      <w:pPr>
        <w:ind w:left="1644" w:hanging="924"/>
      </w:pPr>
      <w:rPr>
        <w:rFonts w:ascii="Arial" w:hAnsi="Arial" w:hint="default"/>
        <w:b w:val="0"/>
        <w:i w:val="0"/>
        <w:sz w:val="20"/>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3" w15:restartNumberingAfterBreak="0">
    <w:nsid w:val="19E058EC"/>
    <w:multiLevelType w:val="multilevel"/>
    <w:tmpl w:val="8C983FA0"/>
    <w:lvl w:ilvl="0">
      <w:start w:val="1"/>
      <w:numFmt w:val="decimal"/>
      <w:pStyle w:val="Schedule1"/>
      <w:suff w:val="space"/>
      <w:lvlText w:val="Schedule %1"/>
      <w:lvlJc w:val="left"/>
      <w:pPr>
        <w:ind w:left="0" w:firstLine="0"/>
      </w:pPr>
      <w:rPr>
        <w:rFonts w:ascii="Arial" w:hAnsi="Arial" w:hint="default"/>
        <w:b/>
        <w:i w:val="0"/>
        <w:caps/>
        <w:sz w:val="20"/>
      </w:rPr>
    </w:lvl>
    <w:lvl w:ilvl="1">
      <w:start w:val="1"/>
      <w:numFmt w:val="decimal"/>
      <w:pStyle w:val="Schedule2"/>
      <w:lvlText w:val="%2."/>
      <w:lvlJc w:val="left"/>
      <w:pPr>
        <w:ind w:left="720" w:hanging="72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Schedule3"/>
      <w:lvlText w:val="%2.%3."/>
      <w:lvlJc w:val="left"/>
      <w:pPr>
        <w:ind w:left="720" w:hanging="720"/>
      </w:pPr>
      <w:rPr>
        <w:rFonts w:ascii="Arial" w:hAnsi="Arial" w:hint="default"/>
        <w:b w:val="0"/>
        <w:i w:val="0"/>
        <w:sz w:val="20"/>
      </w:rPr>
    </w:lvl>
    <w:lvl w:ilvl="3">
      <w:start w:val="1"/>
      <w:numFmt w:val="decimal"/>
      <w:pStyle w:val="Schedule4"/>
      <w:lvlText w:val="%2.%3.%4."/>
      <w:lvlJc w:val="left"/>
      <w:pPr>
        <w:tabs>
          <w:tab w:val="num" w:pos="1644"/>
        </w:tabs>
        <w:ind w:left="1644" w:hanging="924"/>
      </w:pPr>
      <w:rPr>
        <w:rFonts w:ascii="Arial" w:hAnsi="Arial" w:hint="default"/>
        <w:b w:val="0"/>
        <w:i w:val="0"/>
        <w:sz w:val="20"/>
      </w:rPr>
    </w:lvl>
    <w:lvl w:ilvl="4">
      <w:start w:val="1"/>
      <w:numFmt w:val="decimal"/>
      <w:pStyle w:val="Schedule5"/>
      <w:lvlText w:val="(%5)"/>
      <w:lvlJc w:val="left"/>
      <w:pPr>
        <w:tabs>
          <w:tab w:val="num" w:pos="2160"/>
        </w:tabs>
        <w:ind w:left="2160" w:hanging="516"/>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249D5F31"/>
    <w:multiLevelType w:val="hybridMultilevel"/>
    <w:tmpl w:val="48E60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1C4CE8"/>
    <w:multiLevelType w:val="multilevel"/>
    <w:tmpl w:val="FFB44C00"/>
    <w:lvl w:ilvl="0">
      <w:start w:val="1"/>
      <w:numFmt w:val="decimal"/>
      <w:pStyle w:val="Appendix1"/>
      <w:suff w:val="space"/>
      <w:lvlText w:val="APPENDIX %1"/>
      <w:lvlJc w:val="center"/>
      <w:pPr>
        <w:ind w:left="0" w:firstLine="288"/>
      </w:pPr>
      <w:rPr>
        <w:rFonts w:ascii="Arial" w:hAnsi="Arial" w:hint="default"/>
        <w:b/>
        <w:i w:val="0"/>
        <w:caps/>
        <w:sz w:val="20"/>
      </w:rPr>
    </w:lvl>
    <w:lvl w:ilvl="1">
      <w:start w:val="1"/>
      <w:numFmt w:val="decimal"/>
      <w:pStyle w:val="Appendix2"/>
      <w:lvlText w:val="%2."/>
      <w:lvlJc w:val="left"/>
      <w:pPr>
        <w:ind w:left="720" w:hanging="720"/>
      </w:pPr>
      <w:rPr>
        <w:rFonts w:hint="default"/>
        <w:b w:val="0"/>
        <w:bCs w:val="0"/>
        <w:i w:val="0"/>
        <w:iCs w:val="0"/>
        <w:caps w:val="0"/>
        <w:smallCaps w:val="0"/>
        <w:strike w:val="0"/>
        <w:dstrike w:val="0"/>
        <w:vanish w:val="0"/>
        <w:spacing w:val="0"/>
        <w:kern w:val="0"/>
        <w:position w:val="0"/>
        <w:u w:val="none"/>
        <w:effect w:val="none"/>
        <w:vertAlign w:val="baseline"/>
        <w:em w:val="none"/>
      </w:rPr>
    </w:lvl>
    <w:lvl w:ilvl="2">
      <w:start w:val="1"/>
      <w:numFmt w:val="decimal"/>
      <w:pStyle w:val="Appendix3"/>
      <w:lvlText w:val="%2.%3."/>
      <w:lvlJc w:val="left"/>
      <w:pPr>
        <w:ind w:left="720" w:hanging="720"/>
      </w:pPr>
      <w:rPr>
        <w:rFonts w:ascii="Arial" w:hAnsi="Arial" w:hint="default"/>
        <w:b w:val="0"/>
        <w:i w:val="0"/>
        <w:sz w:val="20"/>
      </w:rPr>
    </w:lvl>
    <w:lvl w:ilvl="3">
      <w:start w:val="1"/>
      <w:numFmt w:val="decimal"/>
      <w:pStyle w:val="Appendix4"/>
      <w:lvlText w:val="%2.%3.%4."/>
      <w:lvlJc w:val="left"/>
      <w:pPr>
        <w:tabs>
          <w:tab w:val="num" w:pos="1644"/>
        </w:tabs>
        <w:ind w:left="1644" w:hanging="924"/>
      </w:pPr>
      <w:rPr>
        <w:rFonts w:ascii="Arial" w:hAnsi="Arial" w:hint="default"/>
        <w:b w:val="0"/>
        <w:i w:val="0"/>
        <w:sz w:val="20"/>
      </w:rPr>
    </w:lvl>
    <w:lvl w:ilvl="4">
      <w:start w:val="1"/>
      <w:numFmt w:val="decimal"/>
      <w:pStyle w:val="Appendix5"/>
      <w:lvlText w:val="(%5)"/>
      <w:lvlJc w:val="left"/>
      <w:pPr>
        <w:tabs>
          <w:tab w:val="num" w:pos="2160"/>
        </w:tabs>
        <w:ind w:left="2160" w:hanging="516"/>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D307B5C"/>
    <w:multiLevelType w:val="hybridMultilevel"/>
    <w:tmpl w:val="31B07578"/>
    <w:lvl w:ilvl="0" w:tplc="C7603212">
      <w:start w:val="1"/>
      <w:numFmt w:val="upperLetter"/>
      <w:pStyle w:val="StyleA0"/>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DEC2F69"/>
    <w:multiLevelType w:val="hybridMultilevel"/>
    <w:tmpl w:val="F39083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B424B76"/>
    <w:multiLevelType w:val="multilevel"/>
    <w:tmpl w:val="265A915E"/>
    <w:lvl w:ilvl="0">
      <w:start w:val="1"/>
      <w:numFmt w:val="decimal"/>
      <w:pStyle w:val="Heading1"/>
      <w:lvlText w:val="%1."/>
      <w:lvlJc w:val="left"/>
      <w:pPr>
        <w:ind w:left="720" w:hanging="720"/>
      </w:pPr>
      <w:rPr>
        <w:rFonts w:ascii="Arial" w:hAnsi="Arial" w:hint="default"/>
        <w:b w:val="0"/>
        <w:i w:val="0"/>
        <w:caps/>
        <w:sz w:val="20"/>
      </w:rPr>
    </w:lvl>
    <w:lvl w:ilvl="1">
      <w:start w:val="1"/>
      <w:numFmt w:val="decimal"/>
      <w:pStyle w:val="Heading2"/>
      <w:lvlText w:val="%1.%2."/>
      <w:lvlJc w:val="left"/>
      <w:pPr>
        <w:ind w:left="720" w:hanging="720"/>
      </w:pPr>
      <w:rPr>
        <w:rFonts w:ascii="Arial" w:hAnsi="Arial" w:hint="default"/>
        <w:b w:val="0"/>
        <w:i w:val="0"/>
        <w:sz w:val="20"/>
      </w:rPr>
    </w:lvl>
    <w:lvl w:ilvl="2">
      <w:start w:val="1"/>
      <w:numFmt w:val="decimal"/>
      <w:pStyle w:val="Heading3"/>
      <w:lvlText w:val="%1.%2.%3."/>
      <w:lvlJc w:val="left"/>
      <w:pPr>
        <w:tabs>
          <w:tab w:val="num" w:pos="1644"/>
        </w:tabs>
        <w:ind w:left="1644" w:hanging="924"/>
      </w:pPr>
      <w:rPr>
        <w:rFonts w:ascii="Arial" w:hAnsi="Arial" w:hint="default"/>
        <w:b w:val="0"/>
        <w:i w:val="0"/>
        <w:sz w:val="20"/>
      </w:rPr>
    </w:lvl>
    <w:lvl w:ilvl="3">
      <w:start w:val="1"/>
      <w:numFmt w:val="decimal"/>
      <w:pStyle w:val="Heading4"/>
      <w:lvlText w:val="(%4)"/>
      <w:lvlJc w:val="left"/>
      <w:pPr>
        <w:tabs>
          <w:tab w:val="num" w:pos="2160"/>
        </w:tabs>
        <w:ind w:left="2160" w:hanging="516"/>
      </w:pPr>
      <w:rPr>
        <w:rFonts w:ascii="Arial" w:hAnsi="Arial" w:hint="default"/>
        <w:b w:val="0"/>
        <w:i w:val="0"/>
        <w:sz w:val="20"/>
      </w:rPr>
    </w:lvl>
    <w:lvl w:ilvl="4">
      <w:start w:val="1"/>
      <w:numFmt w:val="lowerLetter"/>
      <w:pStyle w:val="Heading5"/>
      <w:lvlText w:val="(%5)"/>
      <w:lvlJc w:val="left"/>
      <w:pPr>
        <w:tabs>
          <w:tab w:val="num" w:pos="2880"/>
        </w:tabs>
        <w:ind w:left="2880" w:hanging="720"/>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9" w15:restartNumberingAfterBreak="0">
    <w:nsid w:val="5D63637F"/>
    <w:multiLevelType w:val="hybridMultilevel"/>
    <w:tmpl w:val="A1E2C5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11270977">
    <w:abstractNumId w:val="9"/>
  </w:num>
  <w:num w:numId="2" w16cid:durableId="635138990">
    <w:abstractNumId w:val="7"/>
  </w:num>
  <w:num w:numId="3" w16cid:durableId="2104301191">
    <w:abstractNumId w:val="6"/>
  </w:num>
  <w:num w:numId="4" w16cid:durableId="808328454">
    <w:abstractNumId w:val="5"/>
  </w:num>
  <w:num w:numId="5" w16cid:durableId="1641768373">
    <w:abstractNumId w:val="4"/>
  </w:num>
  <w:num w:numId="6" w16cid:durableId="226383676">
    <w:abstractNumId w:val="8"/>
  </w:num>
  <w:num w:numId="7" w16cid:durableId="42798069">
    <w:abstractNumId w:val="3"/>
  </w:num>
  <w:num w:numId="8" w16cid:durableId="954866682">
    <w:abstractNumId w:val="2"/>
  </w:num>
  <w:num w:numId="9" w16cid:durableId="1423605084">
    <w:abstractNumId w:val="1"/>
  </w:num>
  <w:num w:numId="10" w16cid:durableId="431364878">
    <w:abstractNumId w:val="0"/>
  </w:num>
  <w:num w:numId="11" w16cid:durableId="776143699">
    <w:abstractNumId w:val="11"/>
  </w:num>
  <w:num w:numId="12" w16cid:durableId="611742455">
    <w:abstractNumId w:val="12"/>
  </w:num>
  <w:num w:numId="13" w16cid:durableId="84691184">
    <w:abstractNumId w:val="16"/>
  </w:num>
  <w:num w:numId="14" w16cid:durableId="1953659985">
    <w:abstractNumId w:val="11"/>
  </w:num>
  <w:num w:numId="15" w16cid:durableId="1554341658">
    <w:abstractNumId w:val="12"/>
  </w:num>
  <w:num w:numId="16" w16cid:durableId="2001807932">
    <w:abstractNumId w:val="16"/>
  </w:num>
  <w:num w:numId="17" w16cid:durableId="2087066410">
    <w:abstractNumId w:val="18"/>
  </w:num>
  <w:num w:numId="18" w16cid:durableId="268781353">
    <w:abstractNumId w:val="13"/>
  </w:num>
  <w:num w:numId="19" w16cid:durableId="17795682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9250470">
    <w:abstractNumId w:val="10"/>
  </w:num>
  <w:num w:numId="21" w16cid:durableId="1441416783">
    <w:abstractNumId w:val="10"/>
    <w:lvlOverride w:ilvl="0">
      <w:startOverride w:val="1"/>
    </w:lvlOverride>
  </w:num>
  <w:num w:numId="22" w16cid:durableId="12084925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48008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8198472">
    <w:abstractNumId w:val="15"/>
  </w:num>
  <w:num w:numId="25" w16cid:durableId="1546792291">
    <w:abstractNumId w:val="14"/>
  </w:num>
  <w:num w:numId="26" w16cid:durableId="473570323">
    <w:abstractNumId w:val="19"/>
  </w:num>
  <w:num w:numId="27" w16cid:durableId="52581637">
    <w:abstractNumId w:val="17"/>
  </w:num>
  <w:num w:numId="28" w16cid:durableId="900140332">
    <w:abstractNumId w:val="10"/>
    <w:lvlOverride w:ilvl="0">
      <w:startOverride w:val="1"/>
    </w:lvlOverride>
  </w:num>
  <w:num w:numId="29" w16cid:durableId="1262567968">
    <w:abstractNumId w:val="18"/>
  </w:num>
  <w:num w:numId="30" w16cid:durableId="1281451921">
    <w:abstractNumId w:val="18"/>
  </w:num>
  <w:num w:numId="31" w16cid:durableId="1894804707">
    <w:abstractNumId w:val="18"/>
  </w:num>
  <w:num w:numId="32" w16cid:durableId="455412282">
    <w:abstractNumId w:val="18"/>
  </w:num>
  <w:num w:numId="33" w16cid:durableId="747848870">
    <w:abstractNumId w:val="18"/>
  </w:num>
  <w:num w:numId="34" w16cid:durableId="857550125">
    <w:abstractNumId w:val="13"/>
  </w:num>
  <w:num w:numId="35" w16cid:durableId="649096861">
    <w:abstractNumId w:val="11"/>
  </w:num>
  <w:num w:numId="36" w16cid:durableId="690182039">
    <w:abstractNumId w:val="12"/>
  </w:num>
  <w:num w:numId="37" w16cid:durableId="1088431595">
    <w:abstractNumId w:val="16"/>
  </w:num>
  <w:num w:numId="38" w16cid:durableId="1713074861">
    <w:abstractNumId w:val="13"/>
  </w:num>
  <w:num w:numId="39" w16cid:durableId="1919754124">
    <w:abstractNumId w:val="13"/>
  </w:num>
  <w:num w:numId="40" w16cid:durableId="1643271093">
    <w:abstractNumId w:val="13"/>
  </w:num>
  <w:num w:numId="41" w16cid:durableId="1800151361">
    <w:abstractNumId w:val="13"/>
  </w:num>
  <w:num w:numId="42" w16cid:durableId="585265198">
    <w:abstractNumId w:val="10"/>
  </w:num>
  <w:num w:numId="43" w16cid:durableId="618488024">
    <w:abstractNumId w:val="15"/>
  </w:num>
  <w:num w:numId="44" w16cid:durableId="1069376618">
    <w:abstractNumId w:val="15"/>
  </w:num>
  <w:num w:numId="45" w16cid:durableId="2018577130">
    <w:abstractNumId w:val="15"/>
  </w:num>
  <w:num w:numId="46" w16cid:durableId="749812829">
    <w:abstractNumId w:val="15"/>
  </w:num>
  <w:num w:numId="47" w16cid:durableId="611596381">
    <w:abstractNumId w:val="15"/>
  </w:num>
  <w:num w:numId="48" w16cid:durableId="2042976527">
    <w:abstractNumId w:val="12"/>
    <w:lvlOverride w:ilvl="0">
      <w:startOverride w:val="1"/>
    </w:lvlOverride>
  </w:num>
  <w:num w:numId="49" w16cid:durableId="2104496901">
    <w:abstractNumId w:val="12"/>
    <w:lvlOverride w:ilvl="0">
      <w:startOverride w:val="1"/>
    </w:lvlOverride>
  </w:num>
  <w:num w:numId="50" w16cid:durableId="152818099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ttachedTemplate r:id="rId1"/>
  <w:defaultTabStop w:val="720"/>
  <w:drawingGridHorizontalSpacing w:val="100"/>
  <w:displayHorizontalDrawingGridEvery w:val="2"/>
  <w:displayVerticalDrawingGridEvery w:val="2"/>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C14"/>
    <w:rsid w:val="00005434"/>
    <w:rsid w:val="00025BFD"/>
    <w:rsid w:val="00047EFF"/>
    <w:rsid w:val="0008263A"/>
    <w:rsid w:val="00085795"/>
    <w:rsid w:val="000A79CB"/>
    <w:rsid w:val="000F4E30"/>
    <w:rsid w:val="001042DB"/>
    <w:rsid w:val="00104AB8"/>
    <w:rsid w:val="00130891"/>
    <w:rsid w:val="0014624E"/>
    <w:rsid w:val="00175B7E"/>
    <w:rsid w:val="00190434"/>
    <w:rsid w:val="001939A9"/>
    <w:rsid w:val="001E5D21"/>
    <w:rsid w:val="0020345C"/>
    <w:rsid w:val="002149C0"/>
    <w:rsid w:val="00216DF3"/>
    <w:rsid w:val="00246906"/>
    <w:rsid w:val="002718B6"/>
    <w:rsid w:val="00276291"/>
    <w:rsid w:val="00280342"/>
    <w:rsid w:val="00296482"/>
    <w:rsid w:val="002A034B"/>
    <w:rsid w:val="002E509F"/>
    <w:rsid w:val="002F413B"/>
    <w:rsid w:val="00381291"/>
    <w:rsid w:val="00386539"/>
    <w:rsid w:val="00390CC3"/>
    <w:rsid w:val="003A2A95"/>
    <w:rsid w:val="003D5915"/>
    <w:rsid w:val="003E65DB"/>
    <w:rsid w:val="00430960"/>
    <w:rsid w:val="00436CC7"/>
    <w:rsid w:val="00452025"/>
    <w:rsid w:val="004D29B5"/>
    <w:rsid w:val="004F3FFF"/>
    <w:rsid w:val="00530750"/>
    <w:rsid w:val="00554314"/>
    <w:rsid w:val="005559D2"/>
    <w:rsid w:val="005630C9"/>
    <w:rsid w:val="005729BF"/>
    <w:rsid w:val="00576B7E"/>
    <w:rsid w:val="005A3C4A"/>
    <w:rsid w:val="005B3F44"/>
    <w:rsid w:val="006B04E7"/>
    <w:rsid w:val="006D01AF"/>
    <w:rsid w:val="006D3558"/>
    <w:rsid w:val="007016FE"/>
    <w:rsid w:val="00731E83"/>
    <w:rsid w:val="00740A0D"/>
    <w:rsid w:val="00765A61"/>
    <w:rsid w:val="007750F6"/>
    <w:rsid w:val="007913A1"/>
    <w:rsid w:val="007A0B73"/>
    <w:rsid w:val="007A0C0C"/>
    <w:rsid w:val="007B1138"/>
    <w:rsid w:val="007C4595"/>
    <w:rsid w:val="007D4CE0"/>
    <w:rsid w:val="007D4E37"/>
    <w:rsid w:val="007E4C09"/>
    <w:rsid w:val="0081265A"/>
    <w:rsid w:val="008142A4"/>
    <w:rsid w:val="0083692B"/>
    <w:rsid w:val="00861BFA"/>
    <w:rsid w:val="00891A59"/>
    <w:rsid w:val="008E34C4"/>
    <w:rsid w:val="008E3C97"/>
    <w:rsid w:val="009063EB"/>
    <w:rsid w:val="00910CE0"/>
    <w:rsid w:val="00916F31"/>
    <w:rsid w:val="00926FF5"/>
    <w:rsid w:val="00927530"/>
    <w:rsid w:val="00941E09"/>
    <w:rsid w:val="0094287F"/>
    <w:rsid w:val="00987C14"/>
    <w:rsid w:val="009968F6"/>
    <w:rsid w:val="009B160B"/>
    <w:rsid w:val="009E27FB"/>
    <w:rsid w:val="00A37425"/>
    <w:rsid w:val="00A45C01"/>
    <w:rsid w:val="00A51663"/>
    <w:rsid w:val="00A51E86"/>
    <w:rsid w:val="00A55E00"/>
    <w:rsid w:val="00AB38EF"/>
    <w:rsid w:val="00AC454D"/>
    <w:rsid w:val="00AE7A2C"/>
    <w:rsid w:val="00B049DD"/>
    <w:rsid w:val="00B17FDF"/>
    <w:rsid w:val="00B81A10"/>
    <w:rsid w:val="00BA7B86"/>
    <w:rsid w:val="00BB5BB1"/>
    <w:rsid w:val="00BF3397"/>
    <w:rsid w:val="00C203B5"/>
    <w:rsid w:val="00C4416A"/>
    <w:rsid w:val="00C76830"/>
    <w:rsid w:val="00CA2507"/>
    <w:rsid w:val="00CF6EB6"/>
    <w:rsid w:val="00D02B3E"/>
    <w:rsid w:val="00D5335B"/>
    <w:rsid w:val="00D90240"/>
    <w:rsid w:val="00DE2679"/>
    <w:rsid w:val="00E05733"/>
    <w:rsid w:val="00E133B8"/>
    <w:rsid w:val="00E15F9F"/>
    <w:rsid w:val="00E60855"/>
    <w:rsid w:val="00E64861"/>
    <w:rsid w:val="00E721B2"/>
    <w:rsid w:val="00EB46CA"/>
    <w:rsid w:val="00F26DA0"/>
    <w:rsid w:val="00F401C6"/>
    <w:rsid w:val="00F43AE7"/>
    <w:rsid w:val="00FB5CAC"/>
    <w:rsid w:val="00FF1DD2"/>
    <w:rsid w:val="00FF52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690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Verdana" w:hAnsi="Arial" w:cs="Times New Roman"/>
        <w:lang w:val="en-IE" w:eastAsia="en-IE" w:bidi="ar-SA"/>
      </w:rPr>
    </w:rPrDefault>
    <w:pPrDefault/>
  </w:docDefaults>
  <w:latentStyles w:defLockedState="0" w:defUIPriority="0" w:defSemiHidden="0" w:defUnhideWhenUsed="0" w:defQFormat="0" w:count="376">
    <w:lsdException w:name="Normal" w:uiPriority="18" w:qFormat="1"/>
    <w:lsdException w:name="heading 1"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8"/>
    <w:qFormat/>
    <w:pPr>
      <w:widowControl w:val="0"/>
      <w:spacing w:before="240" w:line="264" w:lineRule="auto"/>
      <w:jc w:val="both"/>
    </w:pPr>
    <w:rPr>
      <w:rFonts w:eastAsia="Times New Roman"/>
      <w:lang w:eastAsia="en-US"/>
    </w:rPr>
  </w:style>
  <w:style w:type="paragraph" w:styleId="Heading1">
    <w:name w:val="heading 1"/>
    <w:next w:val="L1Para"/>
    <w:link w:val="Heading1Char"/>
    <w:qFormat/>
    <w:pPr>
      <w:numPr>
        <w:numId w:val="33"/>
      </w:numPr>
      <w:spacing w:before="240" w:line="264" w:lineRule="auto"/>
      <w:jc w:val="both"/>
      <w:outlineLvl w:val="0"/>
    </w:pPr>
    <w:rPr>
      <w:rFonts w:eastAsia="Times New Roman"/>
      <w:b/>
      <w:bCs/>
      <w:caps/>
      <w:szCs w:val="28"/>
      <w:lang w:eastAsia="en-US"/>
    </w:rPr>
  </w:style>
  <w:style w:type="paragraph" w:styleId="Heading2">
    <w:name w:val="heading 2"/>
    <w:next w:val="L2Para"/>
    <w:link w:val="Heading2Char"/>
    <w:uiPriority w:val="1"/>
    <w:qFormat/>
    <w:pPr>
      <w:numPr>
        <w:ilvl w:val="1"/>
        <w:numId w:val="33"/>
      </w:numPr>
      <w:spacing w:before="240" w:line="264" w:lineRule="auto"/>
      <w:jc w:val="both"/>
      <w:outlineLvl w:val="1"/>
    </w:pPr>
    <w:rPr>
      <w:rFonts w:eastAsia="Times New Roman"/>
      <w:bCs/>
      <w:szCs w:val="26"/>
      <w:lang w:eastAsia="en-US"/>
    </w:rPr>
  </w:style>
  <w:style w:type="paragraph" w:styleId="Heading3">
    <w:name w:val="heading 3"/>
    <w:next w:val="L3Para"/>
    <w:link w:val="Heading3Char"/>
    <w:uiPriority w:val="2"/>
    <w:qFormat/>
    <w:pPr>
      <w:numPr>
        <w:ilvl w:val="2"/>
        <w:numId w:val="33"/>
      </w:numPr>
      <w:spacing w:before="240" w:line="264" w:lineRule="auto"/>
      <w:jc w:val="both"/>
      <w:outlineLvl w:val="2"/>
    </w:pPr>
    <w:rPr>
      <w:rFonts w:eastAsia="Times New Roman"/>
      <w:bCs/>
      <w:lang w:eastAsia="en-US"/>
    </w:rPr>
  </w:style>
  <w:style w:type="paragraph" w:styleId="Heading4">
    <w:name w:val="heading 4"/>
    <w:next w:val="L4Para"/>
    <w:link w:val="Heading4Char"/>
    <w:uiPriority w:val="3"/>
    <w:qFormat/>
    <w:pPr>
      <w:numPr>
        <w:ilvl w:val="3"/>
        <w:numId w:val="33"/>
      </w:numPr>
      <w:spacing w:before="240" w:line="264" w:lineRule="auto"/>
      <w:jc w:val="both"/>
      <w:outlineLvl w:val="3"/>
    </w:pPr>
    <w:rPr>
      <w:rFonts w:eastAsia="Times New Roman"/>
      <w:bCs/>
      <w:iCs/>
      <w:lang w:eastAsia="en-US"/>
    </w:rPr>
  </w:style>
  <w:style w:type="paragraph" w:styleId="Heading5">
    <w:name w:val="heading 5"/>
    <w:next w:val="L5Para"/>
    <w:link w:val="Heading5Char"/>
    <w:uiPriority w:val="4"/>
    <w:qFormat/>
    <w:pPr>
      <w:numPr>
        <w:ilvl w:val="4"/>
        <w:numId w:val="17"/>
      </w:numPr>
      <w:spacing w:before="240" w:line="264" w:lineRule="auto"/>
      <w:jc w:val="both"/>
      <w:outlineLvl w:val="4"/>
    </w:pPr>
    <w:rPr>
      <w:rFonts w:eastAsia="Times New Roman"/>
      <w:lang w:eastAsia="en-US"/>
    </w:rPr>
  </w:style>
  <w:style w:type="paragraph" w:styleId="Heading6">
    <w:name w:val="heading 6"/>
    <w:basedOn w:val="Normal"/>
    <w:next w:val="Normal"/>
    <w:link w:val="Heading6Char"/>
    <w:pPr>
      <w:keepLines/>
      <w:widowControl/>
      <w:outlineLvl w:val="5"/>
    </w:pPr>
    <w:rPr>
      <w:iCs/>
    </w:rPr>
  </w:style>
  <w:style w:type="paragraph" w:styleId="Heading7">
    <w:name w:val="heading 7"/>
    <w:basedOn w:val="Normal"/>
    <w:next w:val="Normal"/>
    <w:link w:val="Heading7Char"/>
    <w:pPr>
      <w:keepLines/>
      <w:widowControl/>
      <w:outlineLvl w:val="6"/>
    </w:pPr>
    <w:rPr>
      <w:iCs/>
    </w:rPr>
  </w:style>
  <w:style w:type="paragraph" w:styleId="Heading8">
    <w:name w:val="heading 8"/>
    <w:basedOn w:val="Normal"/>
    <w:next w:val="Normal"/>
    <w:link w:val="Heading8Char"/>
    <w:pPr>
      <w:keepLines/>
      <w:widowControl/>
      <w:outlineLvl w:val="7"/>
    </w:pPr>
  </w:style>
  <w:style w:type="paragraph" w:styleId="Heading9">
    <w:name w:val="heading 9"/>
    <w:basedOn w:val="Normal"/>
    <w:next w:val="Normal"/>
    <w:link w:val="Heading9Char"/>
    <w:pPr>
      <w:keepLines/>
      <w:widowControl/>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Para">
    <w:name w:val="L1Para"/>
    <w:next w:val="Normal"/>
    <w:uiPriority w:val="5"/>
    <w:qFormat/>
    <w:pPr>
      <w:spacing w:before="240" w:line="264" w:lineRule="auto"/>
      <w:ind w:left="720"/>
      <w:jc w:val="both"/>
    </w:pPr>
    <w:rPr>
      <w:lang w:eastAsia="en-US"/>
    </w:rPr>
  </w:style>
  <w:style w:type="paragraph" w:customStyle="1" w:styleId="L2Para">
    <w:name w:val="L2Para"/>
    <w:next w:val="Normal"/>
    <w:link w:val="L2ParaChar"/>
    <w:uiPriority w:val="99"/>
    <w:qFormat/>
    <w:pPr>
      <w:spacing w:before="240" w:line="264" w:lineRule="auto"/>
      <w:ind w:left="720"/>
      <w:jc w:val="both"/>
    </w:pPr>
    <w:rPr>
      <w:lang w:eastAsia="en-US"/>
    </w:rPr>
  </w:style>
  <w:style w:type="paragraph" w:customStyle="1" w:styleId="L3Para">
    <w:name w:val="L3Para"/>
    <w:next w:val="Normal"/>
    <w:uiPriority w:val="7"/>
    <w:qFormat/>
    <w:pPr>
      <w:spacing w:before="240" w:line="264" w:lineRule="auto"/>
      <w:ind w:left="1644"/>
      <w:jc w:val="both"/>
    </w:pPr>
    <w:rPr>
      <w:lang w:eastAsia="en-US"/>
    </w:rPr>
  </w:style>
  <w:style w:type="character" w:customStyle="1" w:styleId="Heading1Char">
    <w:name w:val="Heading 1 Char"/>
    <w:link w:val="Heading1"/>
    <w:rPr>
      <w:rFonts w:eastAsia="Times New Roman" w:cs="Times New Roman"/>
      <w:b/>
      <w:bCs/>
      <w:caps/>
      <w:szCs w:val="28"/>
    </w:rPr>
  </w:style>
  <w:style w:type="character" w:customStyle="1" w:styleId="Heading2Char">
    <w:name w:val="Heading 2 Char"/>
    <w:link w:val="Heading2"/>
    <w:rPr>
      <w:rFonts w:eastAsia="Times New Roman" w:cs="Times New Roman"/>
      <w:bCs/>
      <w:szCs w:val="26"/>
    </w:rPr>
  </w:style>
  <w:style w:type="paragraph" w:customStyle="1" w:styleId="L4Para">
    <w:name w:val="L4Para"/>
    <w:next w:val="Normal"/>
    <w:uiPriority w:val="8"/>
    <w:qFormat/>
    <w:pPr>
      <w:spacing w:before="240" w:line="264" w:lineRule="auto"/>
      <w:ind w:left="2160"/>
      <w:jc w:val="both"/>
    </w:pPr>
    <w:rPr>
      <w:lang w:eastAsia="en-US"/>
    </w:rPr>
  </w:style>
  <w:style w:type="character" w:customStyle="1" w:styleId="Heading3Char">
    <w:name w:val="Heading 3 Char"/>
    <w:link w:val="Heading3"/>
    <w:rPr>
      <w:rFonts w:eastAsia="Times New Roman" w:cs="Times New Roman"/>
      <w:bCs/>
    </w:rPr>
  </w:style>
  <w:style w:type="character" w:customStyle="1" w:styleId="Heading4Char">
    <w:name w:val="Heading 4 Char"/>
    <w:link w:val="Heading4"/>
    <w:rPr>
      <w:rFonts w:eastAsia="Times New Roman" w:cs="Times New Roman"/>
      <w:bCs/>
      <w:iCs/>
    </w:rPr>
  </w:style>
  <w:style w:type="character" w:customStyle="1" w:styleId="Heading5Char">
    <w:name w:val="Heading 5 Char"/>
    <w:link w:val="Heading5"/>
    <w:rPr>
      <w:rFonts w:eastAsia="Times New Roman" w:cs="Times New Roman"/>
    </w:rPr>
  </w:style>
  <w:style w:type="character" w:customStyle="1" w:styleId="Heading6Char">
    <w:name w:val="Heading 6 Char"/>
    <w:link w:val="Heading6"/>
    <w:rPr>
      <w:rFonts w:eastAsia="Times New Roman" w:cs="Times New Roman"/>
      <w:iCs/>
    </w:rPr>
  </w:style>
  <w:style w:type="character" w:customStyle="1" w:styleId="Heading7Char">
    <w:name w:val="Heading 7 Char"/>
    <w:link w:val="Heading7"/>
    <w:rPr>
      <w:rFonts w:eastAsia="Times New Roman" w:cs="Times New Roman"/>
      <w:iCs/>
    </w:rPr>
  </w:style>
  <w:style w:type="character" w:customStyle="1" w:styleId="Heading8Char">
    <w:name w:val="Heading 8 Char"/>
    <w:link w:val="Heading8"/>
    <w:rPr>
      <w:rFonts w:eastAsia="Times New Roman" w:cs="Times New Roman"/>
    </w:rPr>
  </w:style>
  <w:style w:type="character" w:customStyle="1" w:styleId="Heading9Char">
    <w:name w:val="Heading 9 Char"/>
    <w:link w:val="Heading9"/>
    <w:rPr>
      <w:rFonts w:eastAsia="Times New Roman" w:cs="Times New Roman"/>
      <w:iCs/>
    </w:rPr>
  </w:style>
  <w:style w:type="paragraph" w:customStyle="1" w:styleId="L5Para">
    <w:name w:val="L5Para"/>
    <w:next w:val="Normal"/>
    <w:uiPriority w:val="9"/>
    <w:qFormat/>
    <w:pPr>
      <w:spacing w:before="240" w:line="264" w:lineRule="auto"/>
      <w:ind w:left="2880"/>
      <w:jc w:val="both"/>
    </w:pPr>
    <w:rPr>
      <w:lang w:eastAsia="en-US"/>
    </w:rPr>
  </w:style>
  <w:style w:type="table" w:styleId="LightList-Accent1">
    <w:name w:val="Light List Accent 1"/>
    <w:basedOn w:val="TableNormal"/>
    <w:tblPr>
      <w:tblStyleRowBandSize w:val="1"/>
      <w:tblStyleColBandSize w:val="1"/>
      <w:tblBorders>
        <w:top w:val="single" w:sz="8" w:space="0" w:color="F07F09"/>
        <w:left w:val="single" w:sz="8" w:space="0" w:color="F07F09"/>
        <w:bottom w:val="single" w:sz="8" w:space="0" w:color="F07F09"/>
        <w:right w:val="single" w:sz="8" w:space="0" w:color="F07F09"/>
      </w:tblBorders>
    </w:tblPr>
    <w:tblStylePr w:type="firstRow">
      <w:pPr>
        <w:spacing w:before="0" w:after="0" w:line="240" w:lineRule="auto"/>
      </w:pPr>
      <w:rPr>
        <w:b/>
        <w:bCs/>
        <w:color w:val="FFFFFF"/>
      </w:rPr>
      <w:tblPr/>
      <w:tcPr>
        <w:shd w:val="clear" w:color="auto" w:fill="F07F09"/>
      </w:tcPr>
    </w:tblStylePr>
    <w:tblStylePr w:type="lastRow">
      <w:pPr>
        <w:spacing w:before="0" w:after="0" w:line="240" w:lineRule="auto"/>
      </w:pPr>
      <w:rPr>
        <w:b/>
        <w:bCs/>
      </w:rPr>
      <w:tblPr/>
      <w:tcPr>
        <w:tcBorders>
          <w:top w:val="double" w:sz="6" w:space="0" w:color="F07F09"/>
          <w:left w:val="single" w:sz="8" w:space="0" w:color="F07F09"/>
          <w:bottom w:val="single" w:sz="8" w:space="0" w:color="F07F09"/>
          <w:right w:val="single" w:sz="8" w:space="0" w:color="F07F09"/>
        </w:tcBorders>
      </w:tcPr>
    </w:tblStylePr>
    <w:tblStylePr w:type="firstCol">
      <w:rPr>
        <w:b/>
        <w:bCs/>
      </w:rPr>
    </w:tblStylePr>
    <w:tblStylePr w:type="lastCol">
      <w:rPr>
        <w:b/>
        <w:bCs/>
      </w:rPr>
    </w:tblStylePr>
    <w:tblStylePr w:type="band1Vert">
      <w:tblPr/>
      <w:tcPr>
        <w:tcBorders>
          <w:top w:val="single" w:sz="8" w:space="0" w:color="F07F09"/>
          <w:left w:val="single" w:sz="8" w:space="0" w:color="F07F09"/>
          <w:bottom w:val="single" w:sz="8" w:space="0" w:color="F07F09"/>
          <w:right w:val="single" w:sz="8" w:space="0" w:color="F07F09"/>
        </w:tcBorders>
      </w:tcPr>
    </w:tblStylePr>
    <w:tblStylePr w:type="band1Horz">
      <w:tblPr/>
      <w:tcPr>
        <w:tcBorders>
          <w:top w:val="single" w:sz="8" w:space="0" w:color="F07F09"/>
          <w:left w:val="single" w:sz="8" w:space="0" w:color="F07F09"/>
          <w:bottom w:val="single" w:sz="8" w:space="0" w:color="F07F09"/>
          <w:right w:val="single" w:sz="8" w:space="0" w:color="F07F09"/>
        </w:tcBorders>
      </w:tcPr>
    </w:tblStylePr>
  </w:style>
  <w:style w:type="table" w:styleId="MediumShading2-Accent1">
    <w:name w:val="Medium Shading 2 Accent 1"/>
    <w:basedOn w:val="TableNormal"/>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chedule1">
    <w:name w:val="Schedule 1"/>
    <w:next w:val="ScheduleName"/>
    <w:uiPriority w:val="13"/>
    <w:qFormat/>
    <w:pPr>
      <w:pageBreakBefore/>
      <w:numPr>
        <w:numId w:val="41"/>
      </w:numPr>
      <w:spacing w:before="480" w:line="264" w:lineRule="auto"/>
      <w:jc w:val="center"/>
      <w:outlineLvl w:val="0"/>
    </w:pPr>
    <w:rPr>
      <w:b/>
      <w:caps/>
      <w:lang w:eastAsia="en-US"/>
    </w:rPr>
  </w:style>
  <w:style w:type="paragraph" w:customStyle="1" w:styleId="Style1">
    <w:name w:val="Style (1)"/>
    <w:uiPriority w:val="10"/>
    <w:qFormat/>
    <w:pPr>
      <w:numPr>
        <w:numId w:val="35"/>
      </w:numPr>
      <w:spacing w:before="240" w:line="264" w:lineRule="auto"/>
      <w:jc w:val="both"/>
    </w:pPr>
    <w:rPr>
      <w:lang w:eastAsia="en-US"/>
    </w:rPr>
  </w:style>
  <w:style w:type="paragraph" w:customStyle="1" w:styleId="Stylei">
    <w:name w:val="Style (i)"/>
    <w:uiPriority w:val="11"/>
    <w:qFormat/>
    <w:pPr>
      <w:numPr>
        <w:numId w:val="36"/>
      </w:numPr>
      <w:spacing w:before="240" w:line="264" w:lineRule="auto"/>
      <w:jc w:val="both"/>
    </w:pPr>
    <w:rPr>
      <w:lang w:eastAsia="en-US"/>
    </w:rPr>
  </w:style>
  <w:style w:type="paragraph" w:customStyle="1" w:styleId="StyleA0">
    <w:name w:val="Style A"/>
    <w:uiPriority w:val="12"/>
    <w:qFormat/>
    <w:pPr>
      <w:numPr>
        <w:numId w:val="37"/>
      </w:numPr>
      <w:spacing w:before="240" w:line="264" w:lineRule="auto"/>
      <w:jc w:val="both"/>
    </w:pPr>
    <w:rPr>
      <w:lang w:eastAsia="en-US"/>
    </w:rPr>
  </w:style>
  <w:style w:type="table" w:styleId="TableGrid">
    <w:name w:val="Table Grid"/>
    <w:basedOn w:val="TableNormal"/>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Arial" w:hAnsi="Arial"/>
        <w:b/>
        <w:color w:val="FFFFFF"/>
        <w:sz w:val="20"/>
      </w:rPr>
      <w:tblPr/>
      <w:tcPr>
        <w:shd w:val="clear" w:color="auto" w:fill="373ABE"/>
      </w:tcPr>
    </w:tblStylePr>
  </w:style>
  <w:style w:type="paragraph" w:styleId="ListParagraph">
    <w:name w:val="List Paragraph"/>
    <w:basedOn w:val="Normal"/>
    <w:pPr>
      <w:ind w:left="720"/>
    </w:pPr>
  </w:style>
  <w:style w:type="paragraph" w:styleId="Header">
    <w:name w:val="header"/>
    <w:basedOn w:val="Normal"/>
    <w:link w:val="HeaderChar"/>
    <w:pPr>
      <w:widowControl/>
      <w:tabs>
        <w:tab w:val="center" w:pos="4513"/>
        <w:tab w:val="right" w:pos="9026"/>
      </w:tabs>
    </w:pPr>
    <w:rPr>
      <w:rFonts w:eastAsia="Verdana"/>
    </w:rPr>
  </w:style>
  <w:style w:type="character" w:customStyle="1" w:styleId="HeaderChar">
    <w:name w:val="Header Char"/>
    <w:basedOn w:val="DefaultParagraphFont"/>
    <w:link w:val="Header"/>
  </w:style>
  <w:style w:type="paragraph" w:styleId="Footer">
    <w:name w:val="footer"/>
    <w:basedOn w:val="Normal"/>
    <w:link w:val="FooterChar"/>
    <w:pPr>
      <w:widowControl/>
      <w:tabs>
        <w:tab w:val="center" w:pos="4513"/>
        <w:tab w:val="right" w:pos="9026"/>
      </w:tabs>
    </w:pPr>
    <w:rPr>
      <w:rFonts w:eastAsia="Verdana"/>
    </w:rPr>
  </w:style>
  <w:style w:type="character" w:customStyle="1" w:styleId="FooterChar">
    <w:name w:val="Footer Char"/>
    <w:basedOn w:val="DefaultParagraphFont"/>
    <w:link w:val="Footer"/>
  </w:style>
  <w:style w:type="paragraph" w:styleId="NoSpacing">
    <w:name w:val="No Spacing"/>
    <w:link w:val="NoSpacingChar"/>
    <w:pPr>
      <w:spacing w:before="120"/>
    </w:pPr>
    <w:rPr>
      <w:rFonts w:ascii="Verdana" w:eastAsia="Times New Roman" w:hAnsi="Verdana"/>
      <w:sz w:val="22"/>
      <w:szCs w:val="22"/>
      <w:lang w:val="en-US" w:eastAsia="ja-JP"/>
    </w:rPr>
  </w:style>
  <w:style w:type="character" w:customStyle="1" w:styleId="NoSpacingChar">
    <w:name w:val="No Spacing Char"/>
    <w:link w:val="NoSpacing"/>
    <w:rPr>
      <w:rFonts w:ascii="Verdana" w:eastAsia="Times New Roman" w:hAnsi="Verdana"/>
      <w:sz w:val="22"/>
      <w:szCs w:val="22"/>
      <w:lang w:val="en-US" w:eastAsia="ja-JP"/>
    </w:rPr>
  </w:style>
  <w:style w:type="paragraph" w:styleId="BalloonText">
    <w:name w:val="Balloon Text"/>
    <w:basedOn w:val="Normal"/>
    <w:link w:val="BalloonTextChar"/>
    <w:pPr>
      <w:widowControl/>
    </w:pPr>
    <w:rPr>
      <w:rFonts w:ascii="Tahoma" w:eastAsia="Verdan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pPr>
      <w:widowControl/>
      <w:ind w:left="113" w:hanging="113"/>
    </w:pPr>
    <w:rPr>
      <w:rFonts w:eastAsia="Verdana"/>
      <w:i/>
      <w:sz w:val="16"/>
    </w:rPr>
  </w:style>
  <w:style w:type="character" w:customStyle="1" w:styleId="FootnoteTextChar">
    <w:name w:val="Footnote Text Char"/>
    <w:link w:val="FootnoteText"/>
    <w:rPr>
      <w:i/>
      <w:sz w:val="16"/>
    </w:rPr>
  </w:style>
  <w:style w:type="character" w:styleId="FootnoteReference">
    <w:name w:val="footnote reference"/>
    <w:rPr>
      <w:rFonts w:ascii="Arial" w:hAnsi="Arial"/>
      <w:b/>
      <w:sz w:val="20"/>
      <w:vertAlign w:val="superscript"/>
    </w:rPr>
  </w:style>
  <w:style w:type="paragraph" w:styleId="EndnoteText">
    <w:name w:val="endnote text"/>
    <w:basedOn w:val="Normal"/>
    <w:link w:val="EndnoteTextChar"/>
    <w:pPr>
      <w:widowControl/>
    </w:pPr>
    <w:rPr>
      <w:rFonts w:eastAsia="Verdana"/>
    </w:rPr>
  </w:style>
  <w:style w:type="character" w:customStyle="1" w:styleId="EndnoteTextChar">
    <w:name w:val="Endnote Text Char"/>
    <w:basedOn w:val="DefaultParagraphFont"/>
    <w:link w:val="EndnoteText"/>
  </w:style>
  <w:style w:type="character" w:styleId="EndnoteReference">
    <w:name w:val="endnote reference"/>
    <w:rPr>
      <w:vertAlign w:val="superscript"/>
    </w:rPr>
  </w:style>
  <w:style w:type="paragraph" w:customStyle="1" w:styleId="Schedule2">
    <w:name w:val="Schedule 2"/>
    <w:next w:val="L1Para"/>
    <w:uiPriority w:val="14"/>
    <w:qFormat/>
    <w:pPr>
      <w:numPr>
        <w:ilvl w:val="1"/>
        <w:numId w:val="41"/>
      </w:numPr>
      <w:spacing w:before="240" w:line="264" w:lineRule="auto"/>
      <w:jc w:val="both"/>
      <w:outlineLvl w:val="1"/>
    </w:pPr>
    <w:rPr>
      <w:lang w:eastAsia="en-US"/>
    </w:rPr>
  </w:style>
  <w:style w:type="paragraph" w:customStyle="1" w:styleId="Schedule3">
    <w:name w:val="Schedule 3"/>
    <w:next w:val="L2Para"/>
    <w:uiPriority w:val="15"/>
    <w:qFormat/>
    <w:pPr>
      <w:numPr>
        <w:ilvl w:val="2"/>
        <w:numId w:val="41"/>
      </w:numPr>
      <w:spacing w:before="200" w:line="264" w:lineRule="auto"/>
      <w:jc w:val="both"/>
      <w:outlineLvl w:val="2"/>
    </w:pPr>
    <w:rPr>
      <w:lang w:eastAsia="en-US"/>
    </w:rPr>
  </w:style>
  <w:style w:type="paragraph" w:customStyle="1" w:styleId="Schedule4">
    <w:name w:val="Schedule 4"/>
    <w:next w:val="L3Para"/>
    <w:uiPriority w:val="16"/>
    <w:qFormat/>
    <w:pPr>
      <w:numPr>
        <w:ilvl w:val="3"/>
        <w:numId w:val="41"/>
      </w:numPr>
      <w:spacing w:before="240" w:line="264" w:lineRule="auto"/>
      <w:jc w:val="both"/>
      <w:outlineLvl w:val="3"/>
    </w:pPr>
    <w:rPr>
      <w:lang w:eastAsia="en-US"/>
    </w:rPr>
  </w:style>
  <w:style w:type="paragraph" w:customStyle="1" w:styleId="Schedule5">
    <w:name w:val="Schedule 5"/>
    <w:next w:val="L4Para"/>
    <w:uiPriority w:val="17"/>
    <w:qFormat/>
    <w:pPr>
      <w:numPr>
        <w:ilvl w:val="4"/>
        <w:numId w:val="41"/>
      </w:numPr>
      <w:spacing w:before="240" w:line="264" w:lineRule="auto"/>
      <w:jc w:val="both"/>
      <w:outlineLvl w:val="4"/>
    </w:pPr>
    <w:rPr>
      <w:lang w:eastAsia="en-US"/>
    </w:rPr>
  </w:style>
  <w:style w:type="paragraph" w:customStyle="1" w:styleId="ScheduleName">
    <w:name w:val="Schedule Name"/>
    <w:basedOn w:val="Normal"/>
    <w:next w:val="Normal"/>
    <w:pPr>
      <w:jc w:val="center"/>
    </w:pPr>
    <w:rPr>
      <w:b/>
      <w:lang w:val="en-GB"/>
    </w:rPr>
  </w:style>
  <w:style w:type="paragraph" w:styleId="TOC1">
    <w:name w:val="toc 1"/>
    <w:basedOn w:val="Normal"/>
    <w:next w:val="Normal"/>
    <w:autoRedefine/>
    <w:uiPriority w:val="39"/>
    <w:pPr>
      <w:widowControl/>
      <w:ind w:left="226" w:hanging="113"/>
    </w:pPr>
    <w:rPr>
      <w:rFonts w:eastAsia="Verdana"/>
      <w:b/>
      <w:caps/>
    </w:rPr>
  </w:style>
  <w:style w:type="character" w:styleId="Hyperlink">
    <w:name w:val="Hyperlink"/>
    <w:uiPriority w:val="99"/>
    <w:rPr>
      <w:color w:val="6B9F25"/>
      <w:u w:val="single"/>
    </w:rPr>
  </w:style>
  <w:style w:type="paragraph" w:customStyle="1" w:styleId="SectionHeadings">
    <w:name w:val="SectionHeadings"/>
    <w:next w:val="Normal"/>
    <w:pPr>
      <w:spacing w:before="480" w:line="264" w:lineRule="auto"/>
      <w:jc w:val="both"/>
    </w:pPr>
    <w:rPr>
      <w:lang w:eastAsia="en-US"/>
    </w:rPr>
  </w:style>
  <w:style w:type="paragraph" w:customStyle="1" w:styleId="Stylea">
    <w:name w:val="Style (a)"/>
    <w:pPr>
      <w:numPr>
        <w:numId w:val="42"/>
      </w:numPr>
      <w:spacing w:before="240" w:line="264" w:lineRule="auto"/>
      <w:jc w:val="both"/>
    </w:pPr>
    <w:rPr>
      <w:lang w:eastAsia="en-US"/>
    </w:rPr>
  </w:style>
  <w:style w:type="table" w:customStyle="1" w:styleId="ALGplaintable">
    <w:name w:val="ALG plain tabl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PlaceholderText">
    <w:name w:val="Placeholder Text"/>
    <w:rPr>
      <w:color w:val="808080"/>
    </w:rPr>
  </w:style>
  <w:style w:type="paragraph" w:styleId="Title">
    <w:name w:val="Title"/>
    <w:basedOn w:val="Normal"/>
    <w:next w:val="Normal"/>
    <w:link w:val="TitleChar"/>
    <w:pPr>
      <w:spacing w:before="360"/>
      <w:contextualSpacing/>
      <w:jc w:val="center"/>
    </w:pPr>
    <w:rPr>
      <w:b/>
      <w:color w:val="252525"/>
      <w:spacing w:val="5"/>
      <w:kern w:val="28"/>
      <w:szCs w:val="52"/>
    </w:rPr>
  </w:style>
  <w:style w:type="character" w:customStyle="1" w:styleId="TitleChar">
    <w:name w:val="Title Char"/>
    <w:link w:val="Title"/>
    <w:rPr>
      <w:rFonts w:eastAsia="Times New Roman" w:cs="Times New Roman"/>
      <w:b/>
      <w:color w:val="252525"/>
      <w:spacing w:val="5"/>
      <w:kern w:val="28"/>
      <w:szCs w:val="52"/>
    </w:rPr>
  </w:style>
  <w:style w:type="paragraph" w:customStyle="1" w:styleId="Appendix1">
    <w:name w:val="Appendix 1"/>
    <w:next w:val="AppendixName"/>
    <w:pPr>
      <w:pageBreakBefore/>
      <w:numPr>
        <w:numId w:val="47"/>
      </w:numPr>
      <w:spacing w:before="480" w:line="264" w:lineRule="auto"/>
      <w:jc w:val="center"/>
      <w:outlineLvl w:val="0"/>
    </w:pPr>
    <w:rPr>
      <w:rFonts w:eastAsia="Times New Roman"/>
      <w:b/>
      <w:caps/>
      <w:lang w:eastAsia="en-US"/>
    </w:rPr>
  </w:style>
  <w:style w:type="paragraph" w:customStyle="1" w:styleId="Appendix3">
    <w:name w:val="Appendix 3"/>
    <w:next w:val="L2Para"/>
    <w:pPr>
      <w:numPr>
        <w:ilvl w:val="2"/>
        <w:numId w:val="47"/>
      </w:numPr>
      <w:spacing w:before="240" w:line="264" w:lineRule="auto"/>
      <w:jc w:val="both"/>
    </w:pPr>
    <w:rPr>
      <w:lang w:eastAsia="en-US"/>
    </w:rPr>
  </w:style>
  <w:style w:type="paragraph" w:customStyle="1" w:styleId="Appendix2">
    <w:name w:val="Appendix 2"/>
    <w:next w:val="L1Para"/>
    <w:pPr>
      <w:numPr>
        <w:ilvl w:val="1"/>
        <w:numId w:val="47"/>
      </w:numPr>
      <w:spacing w:before="240" w:line="264" w:lineRule="auto"/>
      <w:jc w:val="both"/>
    </w:pPr>
    <w:rPr>
      <w:lang w:eastAsia="en-US"/>
    </w:rPr>
  </w:style>
  <w:style w:type="paragraph" w:customStyle="1" w:styleId="Appendix4">
    <w:name w:val="Appendix 4"/>
    <w:next w:val="L3Para"/>
    <w:pPr>
      <w:numPr>
        <w:ilvl w:val="3"/>
        <w:numId w:val="47"/>
      </w:numPr>
      <w:spacing w:before="240" w:line="264" w:lineRule="auto"/>
      <w:jc w:val="both"/>
    </w:pPr>
    <w:rPr>
      <w:lang w:eastAsia="en-US"/>
    </w:rPr>
  </w:style>
  <w:style w:type="paragraph" w:customStyle="1" w:styleId="Appendix5">
    <w:name w:val="Appendix 5"/>
    <w:next w:val="L4Para"/>
    <w:pPr>
      <w:numPr>
        <w:ilvl w:val="4"/>
        <w:numId w:val="47"/>
      </w:numPr>
      <w:spacing w:before="240" w:line="264" w:lineRule="auto"/>
      <w:jc w:val="both"/>
    </w:pPr>
    <w:rPr>
      <w:lang w:eastAsia="en-US"/>
    </w:rPr>
  </w:style>
  <w:style w:type="paragraph" w:customStyle="1" w:styleId="AppendixName">
    <w:name w:val="Appendix Name"/>
    <w:next w:val="Appendix2"/>
    <w:pPr>
      <w:spacing w:before="120" w:line="264" w:lineRule="auto"/>
      <w:jc w:val="center"/>
    </w:pPr>
    <w:rPr>
      <w:rFonts w:eastAsia="Times New Roman"/>
      <w:b/>
      <w:lang w:eastAsia="en-US"/>
    </w:rPr>
  </w:style>
  <w:style w:type="character" w:styleId="Strong">
    <w:name w:val="Strong"/>
    <w:rPr>
      <w:b/>
      <w:bCs/>
    </w:rPr>
  </w:style>
  <w:style w:type="character" w:styleId="Emphasis">
    <w:name w:val="Emphasis"/>
    <w:basedOn w:val="DefaultParagraphFont"/>
    <w:rPr>
      <w:i/>
      <w:iCs/>
    </w:rPr>
  </w:style>
  <w:style w:type="paragraph" w:styleId="Subtitle">
    <w:name w:val="Subtitle"/>
    <w:basedOn w:val="Normal"/>
    <w:next w:val="Normal"/>
    <w:link w:val="SubtitleChar"/>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rPr>
      <w:i/>
      <w:iCs/>
      <w:color w:val="808080" w:themeColor="text1" w:themeTint="7F"/>
    </w:rPr>
  </w:style>
  <w:style w:type="character" w:styleId="IntenseEmphasis">
    <w:name w:val="Intense Emphasis"/>
    <w:basedOn w:val="DefaultParagraphFont"/>
    <w:rPr>
      <w:b/>
      <w:bCs/>
      <w:i/>
      <w:iCs/>
      <w:color w:val="4F81BD" w:themeColor="accent1"/>
    </w:rPr>
  </w:style>
  <w:style w:type="paragraph" w:styleId="Quote">
    <w:name w:val="Quote"/>
    <w:basedOn w:val="Normal"/>
    <w:next w:val="Normal"/>
    <w:link w:val="QuoteChar"/>
    <w:rPr>
      <w:i/>
      <w:iCs/>
      <w:color w:val="000000" w:themeColor="text1"/>
    </w:rPr>
  </w:style>
  <w:style w:type="character" w:customStyle="1" w:styleId="QuoteChar">
    <w:name w:val="Quote Char"/>
    <w:basedOn w:val="DefaultParagraphFont"/>
    <w:link w:val="Quote"/>
    <w:rPr>
      <w:rFonts w:eastAsia="Times New Roman"/>
      <w:i/>
      <w:iCs/>
      <w:color w:val="000000" w:themeColor="text1"/>
      <w:lang w:eastAsia="en-US"/>
    </w:rPr>
  </w:style>
  <w:style w:type="paragraph" w:styleId="IntenseQuote">
    <w:name w:val="Intense Quote"/>
    <w:basedOn w:val="Normal"/>
    <w:next w:val="Normal"/>
    <w:link w:val="IntenseQuoteChar"/>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Pr>
      <w:rFonts w:eastAsia="Times New Roman"/>
      <w:b/>
      <w:bCs/>
      <w:i/>
      <w:iCs/>
      <w:color w:val="4F81BD" w:themeColor="accent1"/>
      <w:lang w:eastAsia="en-US"/>
    </w:rPr>
  </w:style>
  <w:style w:type="character" w:styleId="SubtleReference">
    <w:name w:val="Subtle Reference"/>
    <w:basedOn w:val="DefaultParagraphFont"/>
    <w:rPr>
      <w:smallCaps/>
      <w:color w:val="C0504D" w:themeColor="accent2"/>
      <w:u w:val="single"/>
    </w:rPr>
  </w:style>
  <w:style w:type="character" w:styleId="IntenseReference">
    <w:name w:val="Intense Reference"/>
    <w:basedOn w:val="DefaultParagraphFont"/>
    <w:rPr>
      <w:b/>
      <w:bCs/>
      <w:smallCaps/>
      <w:color w:val="C0504D" w:themeColor="accent2"/>
      <w:spacing w:val="5"/>
      <w:u w:val="single"/>
    </w:rPr>
  </w:style>
  <w:style w:type="character" w:styleId="BookTitle">
    <w:name w:val="Book Title"/>
    <w:basedOn w:val="DefaultParagraphFont"/>
    <w:rPr>
      <w:b/>
      <w:bCs/>
      <w:smallCaps/>
      <w:spacing w:val="5"/>
    </w:rPr>
  </w:style>
  <w:style w:type="paragraph" w:customStyle="1" w:styleId="Default">
    <w:name w:val="Default"/>
    <w:pPr>
      <w:autoSpaceDE w:val="0"/>
      <w:autoSpaceDN w:val="0"/>
      <w:adjustRightInd w:val="0"/>
    </w:pPr>
    <w:rPr>
      <w:rFonts w:cs="Arial"/>
      <w:color w:val="000000"/>
      <w:sz w:val="24"/>
      <w:szCs w:val="24"/>
    </w:rPr>
  </w:style>
  <w:style w:type="character" w:customStyle="1" w:styleId="L2ParaChar">
    <w:name w:val="L2Para Char"/>
    <w:basedOn w:val="DefaultParagraphFont"/>
    <w:link w:val="L2Para"/>
    <w:uiPriority w:val="99"/>
    <w:locked/>
    <w:rPr>
      <w:lang w:eastAsia="en-US"/>
    </w:rPr>
  </w:style>
  <w:style w:type="paragraph" w:customStyle="1" w:styleId="DocID">
    <w:name w:val="DocID"/>
    <w:basedOn w:val="Normal"/>
    <w:link w:val="DocIDChar"/>
    <w:rsid w:val="001939A9"/>
    <w:pPr>
      <w:tabs>
        <w:tab w:val="center" w:pos="4944"/>
        <w:tab w:val="right" w:pos="9888"/>
      </w:tabs>
      <w:jc w:val="left"/>
    </w:pPr>
    <w:rPr>
      <w:rFonts w:cs="Arial"/>
      <w:sz w:val="16"/>
    </w:rPr>
  </w:style>
  <w:style w:type="character" w:customStyle="1" w:styleId="DocIDChar">
    <w:name w:val="DocID Char"/>
    <w:basedOn w:val="DefaultParagraphFont"/>
    <w:link w:val="DocID"/>
    <w:rsid w:val="001939A9"/>
    <w:rPr>
      <w:rFonts w:eastAsia="Times New Roman" w:cs="Arial"/>
      <w:sz w:val="16"/>
      <w:lang w:eastAsia="en-US"/>
    </w:rPr>
  </w:style>
  <w:style w:type="paragraph" w:customStyle="1" w:styleId="Pa1">
    <w:name w:val="Pa1"/>
    <w:basedOn w:val="Normal"/>
    <w:next w:val="Normal"/>
    <w:uiPriority w:val="99"/>
    <w:rsid w:val="00E15F9F"/>
    <w:pPr>
      <w:widowControl/>
      <w:autoSpaceDE w:val="0"/>
      <w:autoSpaceDN w:val="0"/>
      <w:adjustRightInd w:val="0"/>
      <w:spacing w:before="0" w:line="141" w:lineRule="atLeast"/>
      <w:jc w:val="left"/>
    </w:pPr>
    <w:rPr>
      <w:rFonts w:ascii="BIVSN E+ Gotham" w:eastAsiaTheme="minorHAnsi" w:hAnsi="BIVSN E+ Gotham" w:cstheme="minorBidi"/>
      <w:sz w:val="24"/>
      <w:szCs w:val="24"/>
      <w:lang w:val="en-GB"/>
    </w:rPr>
  </w:style>
  <w:style w:type="character" w:customStyle="1" w:styleId="A4">
    <w:name w:val="A4"/>
    <w:uiPriority w:val="99"/>
    <w:rsid w:val="00E15F9F"/>
    <w:rPr>
      <w:rFonts w:ascii="Arial" w:hAnsi="Arial" w:cs="Arial"/>
      <w:color w:val="000000"/>
      <w:sz w:val="20"/>
      <w:szCs w:val="20"/>
    </w:rPr>
  </w:style>
  <w:style w:type="paragraph" w:customStyle="1" w:styleId="Pa0">
    <w:name w:val="Pa0"/>
    <w:basedOn w:val="Normal"/>
    <w:next w:val="Normal"/>
    <w:uiPriority w:val="99"/>
    <w:rsid w:val="00E15F9F"/>
    <w:pPr>
      <w:widowControl/>
      <w:autoSpaceDE w:val="0"/>
      <w:autoSpaceDN w:val="0"/>
      <w:adjustRightInd w:val="0"/>
      <w:spacing w:before="0" w:line="141" w:lineRule="atLeast"/>
      <w:jc w:val="left"/>
    </w:pPr>
    <w:rPr>
      <w:rFonts w:ascii="BIVSN E+ Gotham" w:eastAsiaTheme="minorHAnsi" w:hAnsi="BIVSN E+ Gotham" w:cstheme="minorBid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0476">
      <w:bodyDiv w:val="1"/>
      <w:marLeft w:val="0"/>
      <w:marRight w:val="0"/>
      <w:marTop w:val="0"/>
      <w:marBottom w:val="0"/>
      <w:divBdr>
        <w:top w:val="none" w:sz="0" w:space="0" w:color="auto"/>
        <w:left w:val="none" w:sz="0" w:space="0" w:color="auto"/>
        <w:bottom w:val="none" w:sz="0" w:space="0" w:color="auto"/>
        <w:right w:val="none" w:sz="0" w:space="0" w:color="auto"/>
      </w:divBdr>
    </w:div>
    <w:div w:id="906113277">
      <w:bodyDiv w:val="1"/>
      <w:marLeft w:val="0"/>
      <w:marRight w:val="0"/>
      <w:marTop w:val="0"/>
      <w:marBottom w:val="0"/>
      <w:divBdr>
        <w:top w:val="none" w:sz="0" w:space="0" w:color="auto"/>
        <w:left w:val="none" w:sz="0" w:space="0" w:color="auto"/>
        <w:bottom w:val="none" w:sz="0" w:space="0" w:color="auto"/>
        <w:right w:val="none" w:sz="0" w:space="0" w:color="auto"/>
      </w:divBdr>
    </w:div>
    <w:div w:id="1143504650">
      <w:bodyDiv w:val="1"/>
      <w:marLeft w:val="0"/>
      <w:marRight w:val="0"/>
      <w:marTop w:val="0"/>
      <w:marBottom w:val="0"/>
      <w:divBdr>
        <w:top w:val="none" w:sz="0" w:space="0" w:color="auto"/>
        <w:left w:val="none" w:sz="0" w:space="0" w:color="auto"/>
        <w:bottom w:val="none" w:sz="0" w:space="0" w:color="auto"/>
        <w:right w:val="none" w:sz="0" w:space="0" w:color="auto"/>
      </w:divBdr>
    </w:div>
    <w:div w:id="12172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A&amp;LTemplates\WorkgroupTemplates\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71AAA6F8F34CCD859093A9FF88680A"/>
        <w:category>
          <w:name w:val="General"/>
          <w:gallery w:val="placeholder"/>
        </w:category>
        <w:types>
          <w:type w:val="bbPlcHdr"/>
        </w:types>
        <w:behaviors>
          <w:behavior w:val="content"/>
        </w:behaviors>
        <w:guid w:val="{2B5C8EA6-BA28-431B-A712-EB387C9F7AF2}"/>
      </w:docPartPr>
      <w:docPartBody>
        <w:p w:rsidR="009B5171" w:rsidRDefault="009B51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IVSN E+ Gotha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D7C"/>
    <w:rsid w:val="00031D83"/>
    <w:rsid w:val="000E5DA1"/>
    <w:rsid w:val="001170DC"/>
    <w:rsid w:val="00134116"/>
    <w:rsid w:val="0017106D"/>
    <w:rsid w:val="00290352"/>
    <w:rsid w:val="00355434"/>
    <w:rsid w:val="003804DD"/>
    <w:rsid w:val="00404239"/>
    <w:rsid w:val="004B3CAC"/>
    <w:rsid w:val="004D02A8"/>
    <w:rsid w:val="004E5637"/>
    <w:rsid w:val="00544365"/>
    <w:rsid w:val="00572B18"/>
    <w:rsid w:val="00573F6F"/>
    <w:rsid w:val="00601240"/>
    <w:rsid w:val="006C7E9C"/>
    <w:rsid w:val="0076447F"/>
    <w:rsid w:val="00773D7C"/>
    <w:rsid w:val="00857E84"/>
    <w:rsid w:val="009B5171"/>
    <w:rsid w:val="009D1365"/>
    <w:rsid w:val="009D208A"/>
    <w:rsid w:val="009F7577"/>
    <w:rsid w:val="00AA5CA5"/>
    <w:rsid w:val="00B13C5D"/>
    <w:rsid w:val="00B92E75"/>
    <w:rsid w:val="00BD38C6"/>
    <w:rsid w:val="00BF29BE"/>
    <w:rsid w:val="00CB112B"/>
    <w:rsid w:val="00CE4A2C"/>
    <w:rsid w:val="00D03B15"/>
    <w:rsid w:val="00D16878"/>
    <w:rsid w:val="00DB6542"/>
    <w:rsid w:val="00DF2E91"/>
    <w:rsid w:val="00E21E94"/>
    <w:rsid w:val="00FB5D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773D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3.xml>��< ? x m l   v e r s i o n = " 1 . 0 "   e n c o d i n g = " u t f - 1 6 " ? >  
 < p r o p e r t i e s   x m l n s = " h t t p : / / w w w . i m a n a g e . c o m / w o r k / x m l s c h e m a " >  
     < d o c u m e n t i d > M A I N ! 7 0 8 3 4 8 9 2 . 1 7 < / d o c u m e n t i d >  
     < s e n d e r i d > S L B U T L E R < / s e n d e r i d >  
     < s e n d e r e m a i l > S L B U T L E R @ A L G O O D B O D Y . C O M < / s e n d e r e m a i l >  
     < l a s t m o d i f i e d > 2 0 2 4 - 0 3 - 0 4 T 1 8 : 1 3 : 0 0 . 0 0 0 0 0 0 0 + 0 0 : 0 0 < / l a s t m o d i f i e d >  
     < d a t a b a s e > M A I N < / 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t e m p l a t e   x m l n s : x s d = " h t t p : / / w w w . w 3 . o r g / 2 0 0 1 / X M L S c h e m a "   x m l n s : x s i = " h t t p : / / w w w . w 3 . o r g / 2 0 0 1 / X M L S c h e m a - i n s t a n c e "   i d = " f 6 9 4 a 2 7 5 - 4 0 c c - 4 6 5 5 - a 1 3 9 - 0 8 c 2 1 f d 0 2 0 1 5 "   d o c u m e n t I d = " f 9 e f d 3 8 a - 9 3 1 0 - 4 2 1 d - a f d c - f 7 1 a f a b 7 6 6 7 9 "   t e m p l a t e F u l l N a m e = " \ \ d u b u s e r s \ 2 0 0 0 U s e r s \ n m c c a f f r e y \ n o r m a l \ N o r m a l . d o t m "   v e r s i o n = " 0 "   s c h e m a V e r s i o n = " 1 "   l a n g u a g e I s o = " e n - I E "   o f f i c e I d = " 8 0 b 4 1 5 4 1 - e 7 a e - 4 f d f - 8 e 6 b - a 9 4 c 0 0 6 f 2 c 8 c "   i m p o r t D a t a = " f a l s e "   w i z a r d H e i g h t = " 0 "   w i z a r d W i d t h = " 0 "   w i z a r d P a n e l W i d t h = " 0 "   h i d e W i z a r d I f V a l i d = " f a l s e "   h i d e A u t h o r = " f a l s e "   w i z a r d T a b P o s i t i o n = " n o n e "   x m l n s = " h t t p : / / i p h e l i o n . c o m / w o r d / o u t l i n e / " >  
     < a u t h o r >  
         < l o c a l i z e d P r o f i l e s / >  
         < f r o m S e a r c h C o n t a c t > t r u e < / f r o m S e a r c h C o n t a c t >  
         < i d > f f 0 a 8 3 d f - f 5 e c - 4 2 d 9 - a c 3 e - f e 2 f a 6 b f e a 4 b < / i d >  
         < n a m e > D e i r d r e   O ' R o u r k e < / n a m e >  
         < i n i t i a l s / >  
         < p r i m a r y O f f i c e > D u b l i n < / p r i m a r y O f f i c e >  
         < p r i m a r y O f f i c e I d > 8 0 b 4 1 5 4 1 - e 7 a e - 4 f d f - 8 e 6 b - a 9 4 c 0 0 6 f 2 c 8 c < / p r i m a r y O f f i c e I d >  
         < p r i m a r y L a n g u a g e I s o > e n - I E < / p r i m a r y L a n g u a g e I s o >  
         < p h o n e N u m b e r F o r m a t > + 3 5 3   1   6 4 9   X X X X < / p h o n e N u m b e r F o r m a t >  
         < f a x N u m b e r F o r m a t > + 3 5 3   1   6 4 9   X X X X < / f a x N u m b e r F o r m a t >  
         < m o b i l e N u m b e r F o r m a t / >  
         < j o b D e s c r i p t i o n > P A < / j o b D e s c r i p t i o n >  
         < d e p a r t m e n t > F u n d s < / d e p a r t m e n t >  
         < e m a i l > d o r o u r k e @ a l g o o d b o d y . c o m < / e m a i l >  
         < r a w D i r e c t L i n e > 3 5 3 1 6 4 9 2 3 6 3 < / r a w D i r e c t L i n e >  
         < r a w D i r e c t F a x > 3 5 3 1 6 4 9 < / r a w D i r e c t F a x >  
         < m o b i l e / >  
         < l o g i n > d o r o u r k e < / l o g i n >  
         < e m p l y e e I d / >  
         < b a r R e g i s t r a t i o n s / >  
     < / a u t h o r >  
     < c o n t e n t C o n t r o l s >  
         < c o n t e n t C o n t r o l   i d = " 9 8 d b e f 5 4 - f 1 2 4 - 4 f 6 e - a 7 f 1 - c f e e 2 a 5 0 e c b e "   n a m e = " D o c I d "   a s s e m b l y = " I p h e l i o n . O u t l i n e . W o r d . d l l "   t y p e = " I p h e l i o n . O u t l i n e . W o r d . R e n d e r e r s . T e x t R e n d e r e r "   o r d e r = " 3 "   a c t i v e = " t r u e "   e n t i t y I d = " f d 8 3 4 6 c 2 - 5 6 a 6 - 4 a 4 c - b d 7 9 - 5 0 c 1 7 c 1 c 3 9 6 7 " 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f d 8 3 4 6 c 2 - 5 6 a 6 - 4 a 4 c - b d 7 9 - 5 0 c 1 7 c 1 c 3 9 6 7 "   n a m e = " D M S "   a s s e m b l y = " I p h e l i o n . O u t l i n e . I n t e g r a t i o n . W o r k S i t e . d l l "   t y p e = " I p h e l i o n . O u t l i n e . I n t e g r a t i o n . W o r k S i t e . S e l e c t W o r k S p a c e C o n t r o 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f d 8 3 4 6 c 2 - 5 6 a 6 - 4 a 4 c - b d 7 9 - 5 0 c 1 7 c 1 c 3 9 6 7 "   l i n k e d E n t i t y I d = " 0 0 0 0 0 0 0 0 - 0 0 0 0 - 0 0 0 0 - 0 0 0 0 - 0 0 0 0 0 0 0 0 0 0 0 0 "   l i n k e d F i e l d I d = " 0 0 0 0 0 0 0 0 - 0 0 0 0 - 0 0 0 0 - 0 0 0 0 - 0 0 0 0 0 0 0 0 0 0 0 0 "   l i n k e d F i e l d I n d e x = " 0 "   i n d e x = " 0 "   f i e l d T y p e = " q u e s t i o n "   f o r m a t E v a l u a t o r T y p e = " f o r m a t S t r i n g "   c o i D o c u m e n t F i e l d = " C l i e n t "   h i d d e n = " f a l s e " > 3 0 4 0 7 1 < / f i e l d >  
         < f i e l d   i d = " d 1 a 0 c 0 3 d - 0 2 5 8 - 4 7 a c - b b 6 d - 4 5 8 a 7 8 e 5 6 4 7 4 "   n a m e = " C l i e n t N a m e "   t y p e = " "   o r d e r = " 9 9 9 "   e n t i t y I d = " f d 8 3 4 6 c 2 - 5 6 a 6 - 4 a 4 c - b d 7 9 - 5 0 c 1 7 c 1 c 3 9 6 7 "   l i n k e d E n t i t y I d = " 0 0 0 0 0 0 0 0 - 0 0 0 0 - 0 0 0 0 - 0 0 0 0 - 0 0 0 0 0 0 0 0 0 0 0 0 "   l i n k e d F i e l d I d = " 0 0 0 0 0 0 0 0 - 0 0 0 0 - 0 0 0 0 - 0 0 0 0 - 0 0 0 0 0 0 0 0 0 0 0 0 "   l i n k e d F i e l d I n d e x = " 0 "   i n d e x = " 0 "   f i e l d T y p e = " q u e s t i o n "   f o r m a t E v a l u a t o r T y p e = " f o r m a t S t r i n g "   c o i D o c u m e n t F i e l d = " C l i e n t N a m e "   h i d d e n = " f a l s e " > P l a t f o r m   C a p i t a l   U C I T S   I C A V < / f i e l d >  
         < f i e l d   i d = " 3 6 2 d d c e b - 8 f c 2 - 4 e a d - b 5 3 5 - e d 9 e 8 3 5 9 8 3 8 4 "   n a m e = " M a t t e r "   t y p e = " "   o r d e r = " 9 9 9 "   e n t i t y I d = " f d 8 3 4 6 c 2 - 5 6 a 6 - 4 a 4 c - b d 7 9 - 5 0 c 1 7 c 1 c 3 9 6 7 "   l i n k e d E n t i t y I d = " 0 0 0 0 0 0 0 0 - 0 0 0 0 - 0 0 0 0 - 0 0 0 0 - 0 0 0 0 0 0 0 0 0 0 0 0 "   l i n k e d F i e l d I d = " 0 0 0 0 0 0 0 0 - 0 0 0 0 - 0 0 0 0 - 0 0 0 0 - 0 0 0 0 0 0 0 0 0 0 0 0 "   l i n k e d F i e l d I n d e x = " 0 "   i n d e x = " 0 "   f i e l d T y p e = " q u e s t i o n "   f o r m a t E v a l u a t o r T y p e = " f o r m a t S t r i n g "   c o i D o c u m e n t F i e l d = " M a t t e r "   h i d d e n = " f a l s e " > 0 1 4 1 6 7 1 3 < / f i e l d >  
         < f i e l d   i d = " a 3 e e f 5 1 4 - 2 4 7 f - 4 2 8 1 - b 6 a 2 - 3 b 4 d 3 4 b c 6 8 c f "   n a m e = " M a t t e r N a m e "   t y p e = " "   o r d e r = " 9 9 9 "   e n t i t y I d = " f d 8 3 4 6 c 2 - 5 6 a 6 - 4 a 4 c - b d 7 9 - 5 0 c 1 7 c 1 c 3 9 6 7 "   l i n k e d E n t i t y I d = " 0 0 0 0 0 0 0 0 - 0 0 0 0 - 0 0 0 0 - 0 0 0 0 - 0 0 0 0 0 0 0 0 0 0 0 0 "   l i n k e d F i e l d I d = " 0 0 0 0 0 0 0 0 - 0 0 0 0 - 0 0 0 0 - 0 0 0 0 - 0 0 0 0 0 0 0 0 0 0 0 0 "   l i n k e d F i e l d I n d e x = " 0 "   i n d e x = " 0 "   f i e l d T y p e = " q u e s t i o n "   f o r m a t E v a l u a t o r T y p e = " f o r m a t S t r i n g "   c o i D o c u m e n t F i e l d = " M a t t e r N a m e "   h i d d e n = " f a l s e " > G e n e r a l < / f i e l d >  
         < f i e l d   i d = " 9 a 9 2 6 9 a e - 1 d 5 b - 4 3 6 5 - 9 d a 1 - 6 3 7 c 5 f 3 3 0 a 8 f "   n a m e = " A u t h o r "   t y p e = " "   o r d e r = " 9 9 9 "   e n t i t y I d = " f d 8 3 4 6 c 2 - 5 6 a 6 - 4 a 4 c - b d 7 9 - 5 0 c 1 7 c 1 c 3 9 6 7 "   l i n k e d E n t i t y I d = " 0 0 0 0 0 0 0 0 - 0 0 0 0 - 0 0 0 0 - 0 0 0 0 - 0 0 0 0 0 0 0 0 0 0 0 0 "   l i n k e d F i e l d I d = " 0 0 0 0 0 0 0 0 - 0 0 0 0 - 0 0 0 0 - 0 0 0 0 - 0 0 0 0 0 0 0 0 0 0 0 0 "   l i n k e d F i e l d I n d e x = " 0 "   i n d e x = " 0 "   f i e l d T y p e = " q u e s t i o n "   f o r m a t E v a l u a t o r T y p e = " f o r m a t S t r i n g "   h i d d e n = " f a l s e " > J R E D M O N D < / f i e l d >  
         < f i e l d   i d = " a 0 0 2 e 7 8 a - 8 e 1 8 - 4 3 7 5 - b e f 7 - 9 f 6 8 7 e 9 3 1 f 6 5 "   n a m e = " T i t l e "   t y p e = " "   o r d e r = " 9 9 9 "   e n t i t y I d = " f d 8 3 4 6 c 2 - 5 6 a 6 - 4 a 4 c - b d 7 9 - 5 0 c 1 7 c 1 c 3 9 6 7 "   l i n k e d E n t i t y I d = " 0 0 0 0 0 0 0 0 - 0 0 0 0 - 0 0 0 0 - 0 0 0 0 - 0 0 0 0 0 0 0 0 0 0 0 0 "   l i n k e d F i e l d I d = " 0 0 0 0 0 0 0 0 - 0 0 0 0 - 0 0 0 0 - 0 0 0 0 - 0 0 0 0 0 0 0 0 0 0 0 0 "   l i n k e d F i e l d I n d e x = " 0 "   i n d e x = " 0 "   f i e l d T y p e = " q u e s t i o n "   f o r m a t E v a l u a t o r T y p e = " f o r m a t S t r i n g "   h i d d e n = " f a l s e " > S u p p l e m e n t   -   T A M   D y n a m i c   F u n d   -   1 4   F e b r u a r y   2 0 2 4 < / f i e l d >  
         < f i e l d   i d = " 6 4 f f 0 0 3 6 - a 6 a f - 4 b 1 1 - a 4 e a - 4 0 2 a 2 f 2 7 3 e 2 1 "   n a m e = " D o c T y p e "   t y p e = " "   o r d e r = " 9 9 9 "   e n t i t y I d = " f d 8 3 4 6 c 2 - 5 6 a 6 - 4 a 4 c - b d 7 9 - 5 0 c 1 7 c 1 c 3 9 6 7 "   l i n k e d E n t i t y I d = " 0 0 0 0 0 0 0 0 - 0 0 0 0 - 0 0 0 0 - 0 0 0 0 - 0 0 0 0 0 0 0 0 0 0 0 0 "   l i n k e d F i e l d I d = " 0 0 0 0 0 0 0 0 - 0 0 0 0 - 0 0 0 0 - 0 0 0 0 - 0 0 0 0 0 0 0 0 0 0 0 0 "   l i n k e d F i e l d I n d e x = " 0 "   i n d e x = " 0 "   f i e l d T y p e = " q u e s t i o n "   f o r m a t E v a l u a t o r T y p e = " f o r m a t S t r i n g "   h i d d e n = " f a l s e " > F U N D S < / f i e l d >  
         < f i e l d   i d = " 7 a b e a 0 f 8 - 4 6 b 7 - 4 9 6 8 - b b 1 2 - 0 4 a 8 9 9 f 0 d 7 7 8 "   n a m e = " D o c S u b T y p e "   t y p e = " "   o r d e r = " 9 9 9 "   e n t i t y I d = " f d 8 3 4 6 c 2 - 5 6 a 6 - 4 a 4 c - b d 7 9 - 5 0 c 1 7 c 1 c 3 9 6 7 "   l i n k e d E n t i t y I d = " 0 0 0 0 0 0 0 0 - 0 0 0 0 - 0 0 0 0 - 0 0 0 0 - 0 0 0 0 0 0 0 0 0 0 0 0 "   l i n k e d F i e l d I d = " 0 0 0 0 0 0 0 0 - 0 0 0 0 - 0 0 0 0 - 0 0 0 0 - 0 0 0 0 0 0 0 0 0 0 0 0 "   l i n k e d F i e l d I n d e x = " 0 "   i n d e x = " 0 "   f i e l d T y p e = " q u e s t i o n "   f o r m a t E v a l u a t o r T y p e = " f o r m a t S t r i n g "   h i d d e n = " f a l s e " > G N < / f i e l d >  
         < f i e l d   i d = " 0 1 a 5 9 1 9 e - 9 f 8 0 - 4 7 f 4 - 9 3 c 4 - a 9 7 8 7 8 0 8 8 c 9 c "   n a m e = " S e r v e r "   t y p e = " "   o r d e r = " 9 9 9 "   e n t i t y I d = " f d 8 3 4 6 c 2 - 5 6 a 6 - 4 a 4 c - b d 7 9 - 5 0 c 1 7 c 1 c 3 9 6 7 "   l i n k e d E n t i t y I d = " 0 0 0 0 0 0 0 0 - 0 0 0 0 - 0 0 0 0 - 0 0 0 0 - 0 0 0 0 0 0 0 0 0 0 0 0 "   l i n k e d F i e l d I d = " 0 0 0 0 0 0 0 0 - 0 0 0 0 - 0 0 0 0 - 0 0 0 0 - 0 0 0 0 0 0 0 0 0 0 0 0 "   l i n k e d F i e l d I n d e x = " 0 "   i n d e x = " 0 "   f i e l d T y p e = " q u e s t i o n "   f o r m a t E v a l u a t o r T y p e = " f o r m a t S t r i n g "   h i d d e n = " f a l s e " > A L G O O D B O D Y - D M S - E U . I M A N A G E . W O R K < / f i e l d >  
         < f i e l d   i d = " 2 f e f 3 f 1 9 - 2 3 2 d - 4 1 4 2 - b 5 2 5 - 1 1 d 8 a 7 6 a 6 e 9 b "   n a m e = " L i b r a r y "   t y p e = " "   o r d e r = " 9 9 9 "   e n t i t y I d = " f d 8 3 4 6 c 2 - 5 6 a 6 - 4 a 4 c - b d 7 9 - 5 0 c 1 7 c 1 c 3 9 6 7 "   l i n k e d E n t i t y I d = " 0 0 0 0 0 0 0 0 - 0 0 0 0 - 0 0 0 0 - 0 0 0 0 - 0 0 0 0 0 0 0 0 0 0 0 0 "   l i n k e d F i e l d I d = " 0 0 0 0 0 0 0 0 - 0 0 0 0 - 0 0 0 0 - 0 0 0 0 - 0 0 0 0 0 0 0 0 0 0 0 0 "   l i n k e d F i e l d I n d e x = " 0 "   i n d e x = " 0 "   f i e l d T y p e = " q u e s t i o n "   f o r m a t E v a l u a t o r T y p e = " f o r m a t S t r i n g "   h i d d e n = " f a l s e " > M A I N < / f i e l d >  
         < f i e l d   i d = " 3 8 8 a 1 e 1 3 - 9 9 7 8 - 4 5 4 7 - 8 c 3 9 - 2 9 b 8 9 a 1 1 d 7 2 a "   n a m e = " W o r k s p a c e I d "   t y p e = " "   o r d e r = " 9 9 9 "   e n t i t y I d = " f d 8 3 4 6 c 2 - 5 6 a 6 - 4 a 4 c - b d 7 9 - 5 0 c 1 7 c 1 c 3 9 6 7 "   l i n k e d E n t i t y I d = " 0 0 0 0 0 0 0 0 - 0 0 0 0 - 0 0 0 0 - 0 0 0 0 - 0 0 0 0 0 0 0 0 0 0 0 0 "   l i n k e d F i e l d I d = " 0 0 0 0 0 0 0 0 - 0 0 0 0 - 0 0 0 0 - 0 0 0 0 - 0 0 0 0 0 0 0 0 0 0 0 0 "   l i n k e d F i e l d I n d e x = " 0 "   i n d e x = " 0 "   f i e l d T y p e = " q u e s t i o n "   f o r m a t E v a l u a t o r T y p e = " f o r m a t S t r i n g "   h i d d e n = " f a l s e " > 8 0 3 5 2 < / f i e l d >  
         < f i e l d   i d = " d 8 d 8 a 1 b 7 - 2 9 f 2 - 4 1 8 4 - b 4 b b - 9 4 e 8 6 8 1 1 b 1 d c "   n a m e = " D o c F o l d e r I d "   t y p e = " "   o r d e r = " 9 9 9 "   e n t i t y I d = " f d 8 3 4 6 c 2 - 5 6 a 6 - 4 a 4 c - b d 7 9 - 5 0 c 1 7 c 1 c 3 9 6 7 "   l i n k e d E n t i t y I d = " 0 0 0 0 0 0 0 0 - 0 0 0 0 - 0 0 0 0 - 0 0 0 0 - 0 0 0 0 0 0 0 0 0 0 0 0 "   l i n k e d F i e l d I d = " 0 0 0 0 0 0 0 0 - 0 0 0 0 - 0 0 0 0 - 0 0 0 0 - 0 0 0 0 0 0 0 0 0 0 0 0 "   l i n k e d F i e l d I n d e x = " 0 "   i n d e x = " 0 "   f i e l d T y p e = " q u e s t i o n "   f o r m a t E v a l u a t o r T y p e = " f o r m a t S t r i n g "   h i d d e n = " f a l s e " > 6 0 4 5 0 4 < / f i e l d >  
         < f i e l d   i d = " a 1 f 2 3 1 e a - a 0 0 f - 4 6 0 6 - 9 f a b - d 2 a c d 8 5 9 d 3 a d "   n a m e = " D o c N u m b e r "   t y p e = " "   o r d e r = " 9 9 9 "   e n t i t y I d = " f d 8 3 4 6 c 2 - 5 6 a 6 - 4 a 4 c - b d 7 9 - 5 0 c 1 7 c 1 c 3 9 6 7 "   l i n k e d E n t i t y I d = " 0 0 0 0 0 0 0 0 - 0 0 0 0 - 0 0 0 0 - 0 0 0 0 - 0 0 0 0 0 0 0 0 0 0 0 0 "   l i n k e d F i e l d I d = " 0 0 0 0 0 0 0 0 - 0 0 0 0 - 0 0 0 0 - 0 0 0 0 - 0 0 0 0 0 0 0 0 0 0 0 0 "   l i n k e d F i e l d I n d e x = " 0 "   i n d e x = " 0 "   f i e l d T y p e = " q u e s t i o n "   f o r m a t E v a l u a t o r T y p e = " f o r m a t S t r i n g "   h i d d e n = " f a l s e " > 7 0 8 3 4 8 9 2 < / f i e l d >  
         < f i e l d   i d = " c 9 0 9 4 b 9 c - 5 2 f d - 4 4 0 3 - b b 8 3 - 9 b b 3 a b 5 3 6 8 a d "   n a m e = " D o c V e r s i o n "   t y p e = " "   o r d e r = " 9 9 9 "   e n t i t y I d = " f d 8 3 4 6 c 2 - 5 6 a 6 - 4 a 4 c - b d 7 9 - 5 0 c 1 7 c 1 c 3 9 6 7 "   l i n k e d E n t i t y I d = " 0 0 0 0 0 0 0 0 - 0 0 0 0 - 0 0 0 0 - 0 0 0 0 - 0 0 0 0 0 0 0 0 0 0 0 0 "   l i n k e d F i e l d I d = " 0 0 0 0 0 0 0 0 - 0 0 0 0 - 0 0 0 0 - 0 0 0 0 - 0 0 0 0 0 0 0 0 0 0 0 0 "   l i n k e d F i e l d I n d e x = " 0 "   i n d e x = " 0 "   f i e l d T y p e = " q u e s t i o n "   f o r m a t E v a l u a t o r T y p e = " f o r m a t S t r i n g "   h i d d e n = " f a l s e " > 1 2 < / f i e l d >  
         < f i e l d   i d = " 7 2 9 0 4 a 4 7 - 5 7 8 0 - 4 5 9 c - b e 7 a - 4 4 8 f 9 a d 8 d 6 b 4 "   n a m e = " D o c I d F o r m a t "   t y p e = " "   o r d e r = " 9 9 9 "   e n t i t y I d = " f d 8 3 4 6 c 2 - 5 6 a 6 - 4 a 4 c - b d 7 9 - 5 0 c 1 7 c 1 c 3 9 6 7 "   l i n k e d E n t i t y I d = " f d 8 3 4 6 c 2 - 5 6 a 6 - 4 a 4 c - b d 7 9 - 5 0 c 1 7 c 1 c 3 9 6 7 "   l i n k e d F i e l d I d = " 0 0 0 0 0 0 0 0 - 0 0 0 0 - 0 0 0 0 - 0 0 0 0 - 0 0 0 0 0 0 0 0 0 0 0 0 "   l i n k e d F i e l d I n d e x = " 0 "   i n d e x = " 0 "   f i e l d T y p e = " q u e s t i o n "   f o r m a t = " U P P E R ( L E F T ( { D M S . L i b r a r y } , 1 ) )   & a m p ;   { L a b e l s . D o c I D   s e p a r a t o r }   & a m p ;   { D M S . D o c N u m b e r }   & a m p ;   { L a b e l s . D o c I D   s e p a r a t o r }   & a m p ;   { D M S . D o c V e r s i o n } "   f o r m a t E v a l u a t o r T y p e = " e x p r e s s i o n "   h i d d e n = " f a l s e " / >  
         < f i e l d   i d = " 9 0 1 6 3 5 3 d - 0 a b 3 - 4 5 1 f - 9 8 2 8 - 3 f e e 9 6 c f 6 8 b a "   n a m e = " C o n n e c t e d "   t y p e = " S y s t e m . B o o l e a n ,   m s c o r l i b ,   V e r s i o n = 4 . 0 . 0 . 0 ,   C u l t u r e = n e u t r a l ,   P u b l i c K e y T o k e n = b 7 7 a 5 c 5 6 1 9 3 4 e 0 8 9 "   o r d e r = " 9 9 9 "   e n t i t y I d = " f d 8 3 4 6 c 2 - 5 6 a 6 - 4 a 4 c - b d 7 9 - 5 0 c 1 7 c 1 c 3 9 6 7 " 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f d 8 3 4 6 c 2 - 5 6 a 6 - 4 a 4 c - b d 7 9 - 5 0 c 1 7 c 1 c 3 9 6 7 "   l i n k e d E n t i t y I d = " 0 0 0 0 0 0 0 0 - 0 0 0 0 - 0 0 0 0 - 0 0 0 0 - 0 0 0 0 0 0 0 0 0 0 0 0 "   l i n k e d F i e l d I d = " 0 0 0 0 0 0 0 0 - 0 0 0 0 - 0 0 0 0 - 0 0 0 0 - 0 0 0 0 0 0 0 0 0 0 0 0 "   l i n k e d F i e l d I n d e x = " 0 "   i n d e x = " 0 "   f i e l d T y p e = " q u e s t i o n "   f o r m a t E v a l u a t o r T y p e = " f o r m a t S t r i n g "   h i d d e n = " f a l s e " > F a l s e < / f i e l d >  
         < f i e l d   i d = " 0 a c 0 d 9 8 3 - 7 d 0 f - 4 0 b 2 - a e 0 2 - c 4 6 9 a d 3 7 b 7 f e "   n a m e = " R e f r e s h T r i g g e r F i e l d "   t y p e = " "   o r d e r = " 9 9 9 "   e n t i t y I d = " f d 8 3 4 6 c 2 - 5 6 a 6 - 4 a 4 c - b d 7 9 - 5 0 c 1 7 c 1 c 3 9 6 7 " 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52FCAF43-6EC2-4D53-B985-64D280E8CC58}">
  <ds:schemaRefs>
    <ds:schemaRef ds:uri="http://schemas.openxmlformats.org/officeDocument/2006/bibliography"/>
  </ds:schemaRefs>
</ds:datastoreItem>
</file>

<file path=customXml/itemProps2.xml><?xml version="1.0" encoding="utf-8"?>
<ds:datastoreItem xmlns:ds="http://schemas.openxmlformats.org/officeDocument/2006/customXml" ds:itemID="{F1E18ADA-AE95-42E0-B1CF-1D3945106B1E}">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8</Pages>
  <Words>3317</Words>
  <Characters>18144</Characters>
  <Application>Microsoft Office Word</Application>
  <DocSecurity>0</DocSecurity>
  <PresentationFormat/>
  <Lines>465</Lines>
  <Paragraphs>212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2024-03-04T18:13:00Z</dcterms:created>
  <dcterms:modified xsi:type="dcterms:W3CDTF">2024-03-04T18:13:00Z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M-28183917-16</vt:lpwstr>
  </property>
</Properties>
</file>