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675CD" w14:textId="5359C067" w:rsidR="00FD3983" w:rsidRPr="00BF1B19" w:rsidRDefault="00D75B8B" w:rsidP="005F28D3">
      <w:pPr>
        <w:jc w:val="center"/>
        <w:rPr>
          <w:b/>
        </w:rPr>
      </w:pPr>
      <w:r w:rsidRPr="00BF1B19">
        <w:rPr>
          <w:b/>
        </w:rPr>
        <w:t xml:space="preserve">CYRUS </w:t>
      </w:r>
      <w:r w:rsidR="00453715" w:rsidRPr="00BF1B19">
        <w:rPr>
          <w:b/>
        </w:rPr>
        <w:t xml:space="preserve">(the </w:t>
      </w:r>
      <w:r w:rsidR="00CF5E4C" w:rsidRPr="00BF1B19">
        <w:rPr>
          <w:b/>
        </w:rPr>
        <w:t>“</w:t>
      </w:r>
      <w:r w:rsidR="00453715" w:rsidRPr="00BF1B19">
        <w:rPr>
          <w:b/>
        </w:rPr>
        <w:t>Fund</w:t>
      </w:r>
      <w:r w:rsidR="00CF5E4C" w:rsidRPr="00BF1B19">
        <w:rPr>
          <w:b/>
        </w:rPr>
        <w:t>”</w:t>
      </w:r>
      <w:r w:rsidR="00453715" w:rsidRPr="00BF1B19">
        <w:rPr>
          <w:b/>
        </w:rPr>
        <w:t>)</w:t>
      </w:r>
    </w:p>
    <w:p w14:paraId="0F5238C6" w14:textId="77777777" w:rsidR="00040A12" w:rsidRPr="00BF1B19" w:rsidRDefault="00040A12" w:rsidP="005F28D3">
      <w:pPr>
        <w:jc w:val="center"/>
        <w:rPr>
          <w:b/>
        </w:rPr>
      </w:pPr>
    </w:p>
    <w:p w14:paraId="48B42943" w14:textId="6058BDFF" w:rsidR="00424F46" w:rsidRPr="00BF1B19" w:rsidRDefault="00453715" w:rsidP="005F28D3">
      <w:pPr>
        <w:jc w:val="center"/>
        <w:rPr>
          <w:b/>
        </w:rPr>
      </w:pPr>
      <w:r w:rsidRPr="00BF1B19">
        <w:rPr>
          <w:b/>
        </w:rPr>
        <w:t>a sub-fund of</w:t>
      </w:r>
    </w:p>
    <w:p w14:paraId="477DD713" w14:textId="77777777" w:rsidR="00040A12" w:rsidRPr="00BF1B19" w:rsidRDefault="00040A12" w:rsidP="005F28D3">
      <w:pPr>
        <w:jc w:val="center"/>
        <w:rPr>
          <w:b/>
        </w:rPr>
      </w:pPr>
    </w:p>
    <w:p w14:paraId="429FCDF9" w14:textId="77777777" w:rsidR="00424F46" w:rsidRPr="00BF1B19" w:rsidRDefault="00453715" w:rsidP="005F28D3">
      <w:pPr>
        <w:jc w:val="center"/>
        <w:rPr>
          <w:b/>
        </w:rPr>
      </w:pPr>
      <w:r w:rsidRPr="00BF1B19">
        <w:rPr>
          <w:b/>
        </w:rPr>
        <w:t>NANJIA CAPITAL ICAV</w:t>
      </w:r>
    </w:p>
    <w:p w14:paraId="07ADB31C" w14:textId="77777777" w:rsidR="00424F46" w:rsidRPr="00BF1B19" w:rsidRDefault="00424F46" w:rsidP="005F28D3">
      <w:pPr>
        <w:pStyle w:val="BodyText"/>
        <w:jc w:val="center"/>
        <w:rPr>
          <w:b/>
        </w:rPr>
      </w:pPr>
    </w:p>
    <w:p w14:paraId="59E4BA49" w14:textId="5BDF545F" w:rsidR="0056208C" w:rsidRPr="00BF1B19" w:rsidRDefault="00453715" w:rsidP="005F28D3">
      <w:pPr>
        <w:jc w:val="center"/>
        <w:rPr>
          <w:b/>
          <w:bCs/>
        </w:rPr>
      </w:pPr>
      <w:r w:rsidRPr="00BF1B19">
        <w:rPr>
          <w:b/>
          <w:bCs/>
        </w:rPr>
        <w:t>Supplement to the</w:t>
      </w:r>
    </w:p>
    <w:p w14:paraId="2DBCF0FF" w14:textId="36CB7323" w:rsidR="00424F46" w:rsidRPr="00BF1B19" w:rsidRDefault="00453715" w:rsidP="005F28D3">
      <w:pPr>
        <w:jc w:val="center"/>
        <w:rPr>
          <w:b/>
          <w:bCs/>
        </w:rPr>
      </w:pPr>
      <w:r w:rsidRPr="00BF1B19">
        <w:rPr>
          <w:b/>
          <w:bCs/>
        </w:rPr>
        <w:t>Prospectus</w:t>
      </w:r>
    </w:p>
    <w:p w14:paraId="4476267A" w14:textId="77777777" w:rsidR="00424F46" w:rsidRPr="00BF1B19" w:rsidRDefault="00424F46" w:rsidP="005F28D3">
      <w:pPr>
        <w:pStyle w:val="BodyText"/>
        <w:jc w:val="center"/>
        <w:rPr>
          <w:b/>
        </w:rPr>
      </w:pPr>
    </w:p>
    <w:p w14:paraId="783CC8F1" w14:textId="77777777" w:rsidR="002B131D" w:rsidRPr="00BF1B19" w:rsidRDefault="002B131D" w:rsidP="005F28D3">
      <w:pPr>
        <w:pStyle w:val="BodyText"/>
        <w:jc w:val="center"/>
        <w:rPr>
          <w:b/>
        </w:rPr>
      </w:pPr>
    </w:p>
    <w:p w14:paraId="03AEE6DF" w14:textId="3A5F0DA6" w:rsidR="00424F46" w:rsidRPr="00BF1B19" w:rsidRDefault="00453715" w:rsidP="00745689">
      <w:pPr>
        <w:jc w:val="both"/>
        <w:rPr>
          <w:b/>
        </w:rPr>
      </w:pPr>
      <w:r w:rsidRPr="00BF1B19">
        <w:rPr>
          <w:b/>
        </w:rPr>
        <w:t xml:space="preserve">This Supplement contains specific information in relation to </w:t>
      </w:r>
      <w:r w:rsidR="00D75B8B" w:rsidRPr="00BF1B19">
        <w:rPr>
          <w:b/>
        </w:rPr>
        <w:t>CYRUS</w:t>
      </w:r>
      <w:r w:rsidRPr="00BF1B19">
        <w:rPr>
          <w:b/>
        </w:rPr>
        <w:t>, a sub-fund of Nanjia Capital ICAV (the “</w:t>
      </w:r>
      <w:r w:rsidRPr="00BF1B19">
        <w:rPr>
          <w:b/>
          <w:bCs/>
        </w:rPr>
        <w:t>ICAV</w:t>
      </w:r>
      <w:r w:rsidRPr="00BF1B19">
        <w:rPr>
          <w:b/>
        </w:rPr>
        <w:t>”), an open-ended umbrella body corporate limited by shares, with variable capital and segregated liability between sub-funds, which is registered under the laws of Ireland and authorised under the European Communities (Undertakings for Collective Investment in Transferable Securities) Regulations, 2011 (as amended).</w:t>
      </w:r>
    </w:p>
    <w:p w14:paraId="67DBB69A" w14:textId="77777777" w:rsidR="00424F46" w:rsidRPr="00BF1B19" w:rsidRDefault="00424F46" w:rsidP="00745689">
      <w:pPr>
        <w:jc w:val="both"/>
        <w:rPr>
          <w:b/>
        </w:rPr>
      </w:pPr>
    </w:p>
    <w:p w14:paraId="72F9179F" w14:textId="21B49D20" w:rsidR="00424F46" w:rsidRPr="00BF1B19" w:rsidRDefault="00453715" w:rsidP="00745689">
      <w:pPr>
        <w:jc w:val="both"/>
        <w:rPr>
          <w:b/>
        </w:rPr>
      </w:pPr>
      <w:r w:rsidRPr="00BF1B19">
        <w:rPr>
          <w:b/>
        </w:rPr>
        <w:t xml:space="preserve">This Supplement forms part of the Prospectus of the ICAV dated </w:t>
      </w:r>
      <w:r w:rsidR="00465B1B" w:rsidRPr="00465B1B">
        <w:rPr>
          <w:b/>
        </w:rPr>
        <w:t>13 November</w:t>
      </w:r>
      <w:r w:rsidRPr="00A1648F">
        <w:rPr>
          <w:b/>
        </w:rPr>
        <w:t xml:space="preserve"> 2024</w:t>
      </w:r>
      <w:r w:rsidR="0072215A">
        <w:rPr>
          <w:b/>
        </w:rPr>
        <w:t xml:space="preserve"> </w:t>
      </w:r>
      <w:r w:rsidRPr="00BF1B19">
        <w:rPr>
          <w:b/>
        </w:rPr>
        <w:t xml:space="preserve">(the </w:t>
      </w:r>
      <w:r w:rsidR="00CF5E4C" w:rsidRPr="00BF1B19">
        <w:rPr>
          <w:b/>
        </w:rPr>
        <w:t>“</w:t>
      </w:r>
      <w:r w:rsidRPr="00B017B0">
        <w:rPr>
          <w:b/>
        </w:rPr>
        <w:t>Prospectus</w:t>
      </w:r>
      <w:r w:rsidR="00CF5E4C" w:rsidRPr="00BF1B19">
        <w:rPr>
          <w:b/>
        </w:rPr>
        <w:t>”</w:t>
      </w:r>
      <w:r w:rsidRPr="00BF1B19">
        <w:rPr>
          <w:b/>
        </w:rPr>
        <w:t>) and should be read in the context of and together with the Prospectus.</w:t>
      </w:r>
    </w:p>
    <w:p w14:paraId="590C1B42" w14:textId="77777777" w:rsidR="00424F46" w:rsidRPr="00B017B0" w:rsidRDefault="00424F46" w:rsidP="00745689">
      <w:pPr>
        <w:jc w:val="both"/>
      </w:pPr>
    </w:p>
    <w:p w14:paraId="407E8D6A" w14:textId="0F164568" w:rsidR="00424F46" w:rsidRPr="00BF1B19" w:rsidRDefault="00453715" w:rsidP="00745689">
      <w:pPr>
        <w:jc w:val="both"/>
      </w:pPr>
      <w:r w:rsidRPr="00BF1B19">
        <w:t xml:space="preserve">The Directors of the ICAV, whose names appear under the section entitled </w:t>
      </w:r>
      <w:r w:rsidR="00CD0E28" w:rsidRPr="00BF1B19">
        <w:t>“</w:t>
      </w:r>
      <w:r w:rsidRPr="00BF1B19">
        <w:t>Directors of the ICAV</w:t>
      </w:r>
      <w:r w:rsidR="00CD0E28" w:rsidRPr="00BF1B19">
        <w:t>”</w:t>
      </w:r>
      <w:r w:rsidRPr="00BF1B19">
        <w:t xml:space="preserve"> in the Prospectus, accept responsibility for the information contained in the Prospectus and this Supplement. To the best of the knowledge and belief of the Directors (who have taken all reasonable care to ensure that such is the case) such information is in accordance with the facts and does not omit anything likely to affect the importance of such information. The Directors accept responsibility accordingly.</w:t>
      </w:r>
    </w:p>
    <w:p w14:paraId="545910D5" w14:textId="77777777" w:rsidR="00CF5E4C" w:rsidRPr="00BF1B19" w:rsidRDefault="00CF5E4C" w:rsidP="00745689">
      <w:pPr>
        <w:jc w:val="both"/>
      </w:pPr>
    </w:p>
    <w:p w14:paraId="29BF24D0" w14:textId="350958CD" w:rsidR="00CF5E4C" w:rsidRPr="00BF1B19" w:rsidRDefault="00453715" w:rsidP="00745689">
      <w:pPr>
        <w:jc w:val="both"/>
      </w:pPr>
      <w:r w:rsidRPr="00BF1B19">
        <w:t>Words and expressions defined in the Prospectus shall, unless the context otherwise requires, have the same meaning when used in this Supplement.</w:t>
      </w:r>
    </w:p>
    <w:p w14:paraId="40D614BE" w14:textId="77777777" w:rsidR="00CF5E4C" w:rsidRPr="00BF1B19" w:rsidRDefault="00CF5E4C" w:rsidP="00745689">
      <w:pPr>
        <w:jc w:val="both"/>
        <w:rPr>
          <w:b/>
        </w:rPr>
      </w:pPr>
    </w:p>
    <w:p w14:paraId="7E49B918" w14:textId="24F407A5" w:rsidR="00424F46" w:rsidRPr="00BF1B19" w:rsidRDefault="00453715" w:rsidP="00745689">
      <w:pPr>
        <w:jc w:val="both"/>
        <w:rPr>
          <w:b/>
          <w:bCs/>
        </w:rPr>
      </w:pPr>
      <w:r w:rsidRPr="00BF1B19">
        <w:rPr>
          <w:b/>
          <w:bCs/>
        </w:rPr>
        <w:t>Investors should note that this Fund invests principally in financial derivative instruments (“</w:t>
      </w:r>
      <w:proofErr w:type="spellStart"/>
      <w:r w:rsidRPr="00BF1B19">
        <w:rPr>
          <w:b/>
          <w:bCs/>
        </w:rPr>
        <w:t>FDI</w:t>
      </w:r>
      <w:proofErr w:type="spellEnd"/>
      <w:r w:rsidRPr="00BF1B19">
        <w:rPr>
          <w:b/>
          <w:bCs/>
        </w:rPr>
        <w:t>”).</w:t>
      </w:r>
    </w:p>
    <w:p w14:paraId="6D4EC54D" w14:textId="77777777" w:rsidR="00424F46" w:rsidRPr="00BF1B19" w:rsidRDefault="00424F46" w:rsidP="00745689">
      <w:pPr>
        <w:jc w:val="both"/>
        <w:rPr>
          <w:b/>
          <w:bCs/>
        </w:rPr>
      </w:pPr>
    </w:p>
    <w:p w14:paraId="0C2DE5D3" w14:textId="77777777" w:rsidR="00424F46" w:rsidRPr="00BF1B19" w:rsidRDefault="00453715" w:rsidP="00745689">
      <w:pPr>
        <w:jc w:val="both"/>
        <w:rPr>
          <w:b/>
          <w:bCs/>
        </w:rPr>
      </w:pPr>
      <w:r w:rsidRPr="00BF1B19">
        <w:rPr>
          <w:b/>
          <w:bCs/>
        </w:rPr>
        <w:t>Investors should note that an investment in the Fund should not constitute a substantial proportion of an investment portfolio and may not be appropriate for all investors.</w:t>
      </w:r>
    </w:p>
    <w:p w14:paraId="57D679C3" w14:textId="77777777" w:rsidR="00424F46" w:rsidRPr="00BF1B19" w:rsidRDefault="00424F46" w:rsidP="00745689">
      <w:pPr>
        <w:jc w:val="both"/>
        <w:rPr>
          <w:b/>
          <w:bCs/>
        </w:rPr>
      </w:pPr>
    </w:p>
    <w:p w14:paraId="51C046BC" w14:textId="77777777" w:rsidR="00424F46" w:rsidRPr="00BF1B19" w:rsidRDefault="00453715" w:rsidP="00745689">
      <w:pPr>
        <w:jc w:val="both"/>
        <w:rPr>
          <w:b/>
          <w:bCs/>
        </w:rPr>
      </w:pPr>
      <w:r w:rsidRPr="00BF1B19">
        <w:rPr>
          <w:b/>
          <w:bCs/>
        </w:rPr>
        <w:t>The Fund may have a high volatility due to its investment policy or portfolio management techniques.</w:t>
      </w:r>
    </w:p>
    <w:p w14:paraId="58668525" w14:textId="77777777" w:rsidR="00424F46" w:rsidRPr="00BF1B19" w:rsidRDefault="00424F46" w:rsidP="00745689">
      <w:pPr>
        <w:jc w:val="both"/>
        <w:rPr>
          <w:b/>
          <w:bCs/>
        </w:rPr>
      </w:pPr>
    </w:p>
    <w:p w14:paraId="7F907888" w14:textId="769FEB16" w:rsidR="00424F46" w:rsidRPr="00BF1B19" w:rsidRDefault="00424F46" w:rsidP="00745689">
      <w:pPr>
        <w:jc w:val="both"/>
        <w:rPr>
          <w:b/>
          <w:bCs/>
        </w:rPr>
      </w:pPr>
    </w:p>
    <w:p w14:paraId="75B96EA8" w14:textId="3418837F" w:rsidR="00862F8D" w:rsidRPr="00A1648F" w:rsidRDefault="003D402C" w:rsidP="00D73E0D">
      <w:pPr>
        <w:jc w:val="both"/>
        <w:rPr>
          <w:b/>
          <w:bCs/>
        </w:rPr>
        <w:sectPr w:rsidR="00862F8D" w:rsidRPr="00A1648F" w:rsidSect="00010756">
          <w:headerReference w:type="even" r:id="rId8"/>
          <w:headerReference w:type="default" r:id="rId9"/>
          <w:footerReference w:type="even" r:id="rId10"/>
          <w:footerReference w:type="default" r:id="rId11"/>
          <w:headerReference w:type="first" r:id="rId12"/>
          <w:footerReference w:type="first" r:id="rId13"/>
          <w:type w:val="continuous"/>
          <w:pgSz w:w="11910" w:h="16840" w:code="9"/>
          <w:pgMar w:top="1134" w:right="1134" w:bottom="1134" w:left="1134" w:header="568" w:footer="592" w:gutter="0"/>
          <w:pgNumType w:start="1"/>
          <w:cols w:space="720"/>
          <w:titlePg/>
          <w:docGrid w:linePitch="245"/>
        </w:sectPr>
      </w:pPr>
      <w:r w:rsidRPr="00BF1B19">
        <w:rPr>
          <w:b/>
          <w:bCs/>
        </w:rPr>
        <w:t>Dated</w:t>
      </w:r>
      <w:r w:rsidR="0077391C" w:rsidRPr="00BF1B19">
        <w:rPr>
          <w:b/>
          <w:bCs/>
        </w:rPr>
        <w:t xml:space="preserve">: </w:t>
      </w:r>
      <w:r w:rsidR="007848B6">
        <w:rPr>
          <w:b/>
          <w:bCs/>
        </w:rPr>
        <w:t>26 February 2025</w:t>
      </w:r>
    </w:p>
    <w:p w14:paraId="76E12719" w14:textId="77777777" w:rsidR="00424F46" w:rsidRPr="00BF1B19" w:rsidRDefault="00453715" w:rsidP="005F28D3">
      <w:pPr>
        <w:spacing w:before="80"/>
        <w:rPr>
          <w:b/>
        </w:rPr>
      </w:pPr>
      <w:r w:rsidRPr="00BF1B19">
        <w:rPr>
          <w:b/>
        </w:rPr>
        <w:lastRenderedPageBreak/>
        <w:t>DIRECTORY</w:t>
      </w:r>
    </w:p>
    <w:p w14:paraId="46C068BE" w14:textId="77777777" w:rsidR="00862F8D" w:rsidRPr="00BF1B19" w:rsidRDefault="00862F8D" w:rsidP="005F28D3"/>
    <w:bookmarkStart w:id="0" w:name="_bookmark0"/>
    <w:bookmarkStart w:id="1" w:name="InsertTOCHere"/>
    <w:bookmarkEnd w:id="0"/>
    <w:bookmarkEnd w:id="1"/>
    <w:p w14:paraId="7646683C" w14:textId="3C7A0FC5" w:rsidR="00E54D92" w:rsidRDefault="00DA2E2B">
      <w:pPr>
        <w:pStyle w:val="TOC1"/>
        <w:rPr>
          <w:rFonts w:asciiTheme="minorHAnsi" w:eastAsiaTheme="minorEastAsia" w:hAnsiTheme="minorHAnsi" w:cstheme="minorBidi"/>
          <w:caps w:val="0"/>
          <w:kern w:val="2"/>
          <w:sz w:val="24"/>
          <w:szCs w:val="24"/>
          <w:lang w:val="en-HK" w:eastAsia="zh-TW"/>
          <w14:ligatures w14:val="standardContextual"/>
        </w:rPr>
      </w:pPr>
      <w:r w:rsidRPr="00745689">
        <w:fldChar w:fldCharType="begin"/>
      </w:r>
      <w:r w:rsidRPr="00745689">
        <w:instrText xml:space="preserve"> TOC \f \u \* MERGEFORMAT </w:instrText>
      </w:r>
      <w:r w:rsidRPr="00745689">
        <w:fldChar w:fldCharType="separate"/>
      </w:r>
      <w:r w:rsidR="00E54D92">
        <w:t>1</w:t>
      </w:r>
      <w:r w:rsidR="00E54D92">
        <w:rPr>
          <w:rFonts w:asciiTheme="minorHAnsi" w:eastAsiaTheme="minorEastAsia" w:hAnsiTheme="minorHAnsi" w:cstheme="minorBidi"/>
          <w:caps w:val="0"/>
          <w:kern w:val="2"/>
          <w:sz w:val="24"/>
          <w:szCs w:val="24"/>
          <w:lang w:val="en-HK" w:eastAsia="zh-TW"/>
          <w14:ligatures w14:val="standardContextual"/>
        </w:rPr>
        <w:tab/>
      </w:r>
      <w:r w:rsidR="00E54D92">
        <w:t>INVESTMENT OBJECTIVE AND POLICIES</w:t>
      </w:r>
      <w:r w:rsidR="00E54D92">
        <w:tab/>
      </w:r>
      <w:r w:rsidR="00E54D92">
        <w:fldChar w:fldCharType="begin"/>
      </w:r>
      <w:r w:rsidR="00E54D92">
        <w:instrText xml:space="preserve"> PAGEREF _Toc191388725 \h </w:instrText>
      </w:r>
      <w:r w:rsidR="00E54D92">
        <w:fldChar w:fldCharType="separate"/>
      </w:r>
      <w:r w:rsidR="00E54D92">
        <w:t>3</w:t>
      </w:r>
      <w:r w:rsidR="00E54D92">
        <w:fldChar w:fldCharType="end"/>
      </w:r>
    </w:p>
    <w:p w14:paraId="0619C674" w14:textId="615F03ED" w:rsidR="00E54D92" w:rsidRDefault="00E54D92">
      <w:pPr>
        <w:pStyle w:val="TOC1"/>
        <w:rPr>
          <w:rFonts w:asciiTheme="minorHAnsi" w:eastAsiaTheme="minorEastAsia" w:hAnsiTheme="minorHAnsi" w:cstheme="minorBidi"/>
          <w:caps w:val="0"/>
          <w:kern w:val="2"/>
          <w:sz w:val="24"/>
          <w:szCs w:val="24"/>
          <w:lang w:val="en-HK" w:eastAsia="zh-TW"/>
          <w14:ligatures w14:val="standardContextual"/>
        </w:rPr>
      </w:pPr>
      <w:r>
        <w:t>2</w:t>
      </w:r>
      <w:r>
        <w:rPr>
          <w:rFonts w:asciiTheme="minorHAnsi" w:eastAsiaTheme="minorEastAsia" w:hAnsiTheme="minorHAnsi" w:cstheme="minorBidi"/>
          <w:caps w:val="0"/>
          <w:kern w:val="2"/>
          <w:sz w:val="24"/>
          <w:szCs w:val="24"/>
          <w:lang w:val="en-HK" w:eastAsia="zh-TW"/>
          <w14:ligatures w14:val="standardContextual"/>
        </w:rPr>
        <w:tab/>
      </w:r>
      <w:r>
        <w:t>FINANCIAL DERIVATIVE INSTRUMENTS &amp; EFFICIENT PORTFOLIO MANAGEMENT</w:t>
      </w:r>
      <w:r>
        <w:tab/>
      </w:r>
      <w:r>
        <w:fldChar w:fldCharType="begin"/>
      </w:r>
      <w:r>
        <w:instrText xml:space="preserve"> PAGEREF _Toc191388726 \h </w:instrText>
      </w:r>
      <w:r>
        <w:fldChar w:fldCharType="separate"/>
      </w:r>
      <w:r>
        <w:t>5</w:t>
      </w:r>
      <w:r>
        <w:fldChar w:fldCharType="end"/>
      </w:r>
    </w:p>
    <w:p w14:paraId="25DEFEF9" w14:textId="3BF6314F" w:rsidR="00E54D92" w:rsidRDefault="00E54D92">
      <w:pPr>
        <w:pStyle w:val="TOC1"/>
        <w:rPr>
          <w:rFonts w:asciiTheme="minorHAnsi" w:eastAsiaTheme="minorEastAsia" w:hAnsiTheme="minorHAnsi" w:cstheme="minorBidi"/>
          <w:caps w:val="0"/>
          <w:kern w:val="2"/>
          <w:sz w:val="24"/>
          <w:szCs w:val="24"/>
          <w:lang w:val="en-HK" w:eastAsia="zh-TW"/>
          <w14:ligatures w14:val="standardContextual"/>
        </w:rPr>
      </w:pPr>
      <w:r>
        <w:t>3</w:t>
      </w:r>
      <w:r>
        <w:rPr>
          <w:rFonts w:asciiTheme="minorHAnsi" w:eastAsiaTheme="minorEastAsia" w:hAnsiTheme="minorHAnsi" w:cstheme="minorBidi"/>
          <w:caps w:val="0"/>
          <w:kern w:val="2"/>
          <w:sz w:val="24"/>
          <w:szCs w:val="24"/>
          <w:lang w:val="en-HK" w:eastAsia="zh-TW"/>
          <w14:ligatures w14:val="standardContextual"/>
        </w:rPr>
        <w:tab/>
      </w:r>
      <w:r>
        <w:t>BORROWING</w:t>
      </w:r>
      <w:r>
        <w:tab/>
      </w:r>
      <w:r>
        <w:fldChar w:fldCharType="begin"/>
      </w:r>
      <w:r>
        <w:instrText xml:space="preserve"> PAGEREF _Toc191388727 \h </w:instrText>
      </w:r>
      <w:r>
        <w:fldChar w:fldCharType="separate"/>
      </w:r>
      <w:r>
        <w:t>6</w:t>
      </w:r>
      <w:r>
        <w:fldChar w:fldCharType="end"/>
      </w:r>
    </w:p>
    <w:p w14:paraId="76E85E16" w14:textId="12A43778" w:rsidR="00E54D92" w:rsidRDefault="00E54D92">
      <w:pPr>
        <w:pStyle w:val="TOC1"/>
        <w:rPr>
          <w:rFonts w:asciiTheme="minorHAnsi" w:eastAsiaTheme="minorEastAsia" w:hAnsiTheme="minorHAnsi" w:cstheme="minorBidi"/>
          <w:caps w:val="0"/>
          <w:kern w:val="2"/>
          <w:sz w:val="24"/>
          <w:szCs w:val="24"/>
          <w:lang w:val="en-HK" w:eastAsia="zh-TW"/>
          <w14:ligatures w14:val="standardContextual"/>
        </w:rPr>
      </w:pPr>
      <w:r>
        <w:t>4</w:t>
      </w:r>
      <w:r>
        <w:rPr>
          <w:rFonts w:asciiTheme="minorHAnsi" w:eastAsiaTheme="minorEastAsia" w:hAnsiTheme="minorHAnsi" w:cstheme="minorBidi"/>
          <w:caps w:val="0"/>
          <w:kern w:val="2"/>
          <w:sz w:val="24"/>
          <w:szCs w:val="24"/>
          <w:lang w:val="en-HK" w:eastAsia="zh-TW"/>
          <w14:ligatures w14:val="standardContextual"/>
        </w:rPr>
        <w:tab/>
      </w:r>
      <w:r>
        <w:t>LEVERAGE AND GLOBAL EXPOSURE</w:t>
      </w:r>
      <w:r>
        <w:tab/>
      </w:r>
      <w:r>
        <w:fldChar w:fldCharType="begin"/>
      </w:r>
      <w:r>
        <w:instrText xml:space="preserve"> PAGEREF _Toc191388728 \h </w:instrText>
      </w:r>
      <w:r>
        <w:fldChar w:fldCharType="separate"/>
      </w:r>
      <w:r>
        <w:t>6</w:t>
      </w:r>
      <w:r>
        <w:fldChar w:fldCharType="end"/>
      </w:r>
    </w:p>
    <w:p w14:paraId="4B6E64B5" w14:textId="7617CD27" w:rsidR="00E54D92" w:rsidRDefault="00E54D92">
      <w:pPr>
        <w:pStyle w:val="TOC1"/>
        <w:rPr>
          <w:rFonts w:asciiTheme="minorHAnsi" w:eastAsiaTheme="minorEastAsia" w:hAnsiTheme="minorHAnsi" w:cstheme="minorBidi"/>
          <w:caps w:val="0"/>
          <w:kern w:val="2"/>
          <w:sz w:val="24"/>
          <w:szCs w:val="24"/>
          <w:lang w:val="en-HK" w:eastAsia="zh-TW"/>
          <w14:ligatures w14:val="standardContextual"/>
        </w:rPr>
      </w:pPr>
      <w:r>
        <w:t>5</w:t>
      </w:r>
      <w:r>
        <w:rPr>
          <w:rFonts w:asciiTheme="minorHAnsi" w:eastAsiaTheme="minorEastAsia" w:hAnsiTheme="minorHAnsi" w:cstheme="minorBidi"/>
          <w:caps w:val="0"/>
          <w:kern w:val="2"/>
          <w:sz w:val="24"/>
          <w:szCs w:val="24"/>
          <w:lang w:val="en-HK" w:eastAsia="zh-TW"/>
          <w14:ligatures w14:val="standardContextual"/>
        </w:rPr>
        <w:tab/>
      </w:r>
      <w:r>
        <w:t>INVESTMENT RESTRICTIONS</w:t>
      </w:r>
      <w:r>
        <w:tab/>
      </w:r>
      <w:r>
        <w:fldChar w:fldCharType="begin"/>
      </w:r>
      <w:r>
        <w:instrText xml:space="preserve"> PAGEREF _Toc191388729 \h </w:instrText>
      </w:r>
      <w:r>
        <w:fldChar w:fldCharType="separate"/>
      </w:r>
      <w:r>
        <w:t>7</w:t>
      </w:r>
      <w:r>
        <w:fldChar w:fldCharType="end"/>
      </w:r>
    </w:p>
    <w:p w14:paraId="651A5130" w14:textId="57FC3226" w:rsidR="00E54D92" w:rsidRDefault="00E54D92">
      <w:pPr>
        <w:pStyle w:val="TOC1"/>
        <w:rPr>
          <w:rFonts w:asciiTheme="minorHAnsi" w:eastAsiaTheme="minorEastAsia" w:hAnsiTheme="minorHAnsi" w:cstheme="minorBidi"/>
          <w:caps w:val="0"/>
          <w:kern w:val="2"/>
          <w:sz w:val="24"/>
          <w:szCs w:val="24"/>
          <w:lang w:val="en-HK" w:eastAsia="zh-TW"/>
          <w14:ligatures w14:val="standardContextual"/>
        </w:rPr>
      </w:pPr>
      <w:r>
        <w:t>6</w:t>
      </w:r>
      <w:r>
        <w:rPr>
          <w:rFonts w:asciiTheme="minorHAnsi" w:eastAsiaTheme="minorEastAsia" w:hAnsiTheme="minorHAnsi" w:cstheme="minorBidi"/>
          <w:caps w:val="0"/>
          <w:kern w:val="2"/>
          <w:sz w:val="24"/>
          <w:szCs w:val="24"/>
          <w:lang w:val="en-HK" w:eastAsia="zh-TW"/>
          <w14:ligatures w14:val="standardContextual"/>
        </w:rPr>
        <w:tab/>
      </w:r>
      <w:r>
        <w:t>INVESTMENT MANAGER AND SUB-INVESTMENT MANAGER</w:t>
      </w:r>
      <w:r>
        <w:tab/>
      </w:r>
      <w:r>
        <w:fldChar w:fldCharType="begin"/>
      </w:r>
      <w:r>
        <w:instrText xml:space="preserve"> PAGEREF _Toc191388730 \h </w:instrText>
      </w:r>
      <w:r>
        <w:fldChar w:fldCharType="separate"/>
      </w:r>
      <w:r>
        <w:t>7</w:t>
      </w:r>
      <w:r>
        <w:fldChar w:fldCharType="end"/>
      </w:r>
    </w:p>
    <w:p w14:paraId="3DA98BAF" w14:textId="78E4AD3E" w:rsidR="00E54D92" w:rsidRDefault="00E54D92">
      <w:pPr>
        <w:pStyle w:val="TOC1"/>
        <w:rPr>
          <w:rFonts w:asciiTheme="minorHAnsi" w:eastAsiaTheme="minorEastAsia" w:hAnsiTheme="minorHAnsi" w:cstheme="minorBidi"/>
          <w:caps w:val="0"/>
          <w:kern w:val="2"/>
          <w:sz w:val="24"/>
          <w:szCs w:val="24"/>
          <w:lang w:val="en-HK" w:eastAsia="zh-TW"/>
          <w14:ligatures w14:val="standardContextual"/>
        </w:rPr>
      </w:pPr>
      <w:r>
        <w:t>7</w:t>
      </w:r>
      <w:r>
        <w:rPr>
          <w:rFonts w:asciiTheme="minorHAnsi" w:eastAsiaTheme="minorEastAsia" w:hAnsiTheme="minorHAnsi" w:cstheme="minorBidi"/>
          <w:caps w:val="0"/>
          <w:kern w:val="2"/>
          <w:sz w:val="24"/>
          <w:szCs w:val="24"/>
          <w:lang w:val="en-HK" w:eastAsia="zh-TW"/>
          <w14:ligatures w14:val="standardContextual"/>
        </w:rPr>
        <w:tab/>
      </w:r>
      <w:r>
        <w:t>RISK FACTORS</w:t>
      </w:r>
      <w:r>
        <w:tab/>
      </w:r>
      <w:r>
        <w:fldChar w:fldCharType="begin"/>
      </w:r>
      <w:r>
        <w:instrText xml:space="preserve"> PAGEREF _Toc191388731 \h </w:instrText>
      </w:r>
      <w:r>
        <w:fldChar w:fldCharType="separate"/>
      </w:r>
      <w:r>
        <w:t>7</w:t>
      </w:r>
      <w:r>
        <w:fldChar w:fldCharType="end"/>
      </w:r>
    </w:p>
    <w:p w14:paraId="2C608BF9" w14:textId="3242DC24" w:rsidR="00E54D92" w:rsidRDefault="00E54D92">
      <w:pPr>
        <w:pStyle w:val="TOC1"/>
        <w:rPr>
          <w:rFonts w:asciiTheme="minorHAnsi" w:eastAsiaTheme="minorEastAsia" w:hAnsiTheme="minorHAnsi" w:cstheme="minorBidi"/>
          <w:caps w:val="0"/>
          <w:kern w:val="2"/>
          <w:sz w:val="24"/>
          <w:szCs w:val="24"/>
          <w:lang w:val="en-HK" w:eastAsia="zh-TW"/>
          <w14:ligatures w14:val="standardContextual"/>
        </w:rPr>
      </w:pPr>
      <w:r>
        <w:t>8</w:t>
      </w:r>
      <w:r>
        <w:rPr>
          <w:rFonts w:asciiTheme="minorHAnsi" w:eastAsiaTheme="minorEastAsia" w:hAnsiTheme="minorHAnsi" w:cstheme="minorBidi"/>
          <w:caps w:val="0"/>
          <w:kern w:val="2"/>
          <w:sz w:val="24"/>
          <w:szCs w:val="24"/>
          <w:lang w:val="en-HK" w:eastAsia="zh-TW"/>
          <w14:ligatures w14:val="standardContextual"/>
        </w:rPr>
        <w:tab/>
      </w:r>
      <w:r>
        <w:t>DIVIDEND POLICY</w:t>
      </w:r>
      <w:r>
        <w:tab/>
      </w:r>
      <w:r>
        <w:fldChar w:fldCharType="begin"/>
      </w:r>
      <w:r>
        <w:instrText xml:space="preserve"> PAGEREF _Toc191388732 \h </w:instrText>
      </w:r>
      <w:r>
        <w:fldChar w:fldCharType="separate"/>
      </w:r>
      <w:r>
        <w:t>8</w:t>
      </w:r>
      <w:r>
        <w:fldChar w:fldCharType="end"/>
      </w:r>
    </w:p>
    <w:p w14:paraId="0EE6894E" w14:textId="77B2AA96" w:rsidR="00E54D92" w:rsidRDefault="00E54D92">
      <w:pPr>
        <w:pStyle w:val="TOC1"/>
        <w:rPr>
          <w:rFonts w:asciiTheme="minorHAnsi" w:eastAsiaTheme="minorEastAsia" w:hAnsiTheme="minorHAnsi" w:cstheme="minorBidi"/>
          <w:caps w:val="0"/>
          <w:kern w:val="2"/>
          <w:sz w:val="24"/>
          <w:szCs w:val="24"/>
          <w:lang w:val="en-HK" w:eastAsia="zh-TW"/>
          <w14:ligatures w14:val="standardContextual"/>
        </w:rPr>
      </w:pPr>
      <w:r>
        <w:t>9</w:t>
      </w:r>
      <w:r>
        <w:rPr>
          <w:rFonts w:asciiTheme="minorHAnsi" w:eastAsiaTheme="minorEastAsia" w:hAnsiTheme="minorHAnsi" w:cstheme="minorBidi"/>
          <w:caps w:val="0"/>
          <w:kern w:val="2"/>
          <w:sz w:val="24"/>
          <w:szCs w:val="24"/>
          <w:lang w:val="en-HK" w:eastAsia="zh-TW"/>
          <w14:ligatures w14:val="standardContextual"/>
        </w:rPr>
        <w:tab/>
      </w:r>
      <w:r>
        <w:t>TAX STATUS</w:t>
      </w:r>
      <w:r>
        <w:tab/>
      </w:r>
      <w:r>
        <w:fldChar w:fldCharType="begin"/>
      </w:r>
      <w:r>
        <w:instrText xml:space="preserve"> PAGEREF _Toc191388733 \h </w:instrText>
      </w:r>
      <w:r>
        <w:fldChar w:fldCharType="separate"/>
      </w:r>
      <w:r>
        <w:t>8</w:t>
      </w:r>
      <w:r>
        <w:fldChar w:fldCharType="end"/>
      </w:r>
    </w:p>
    <w:p w14:paraId="3D2E3181" w14:textId="46A4FE7A" w:rsidR="00E54D92" w:rsidRDefault="00E54D92">
      <w:pPr>
        <w:pStyle w:val="TOC1"/>
        <w:rPr>
          <w:rFonts w:asciiTheme="minorHAnsi" w:eastAsiaTheme="minorEastAsia" w:hAnsiTheme="minorHAnsi" w:cstheme="minorBidi"/>
          <w:caps w:val="0"/>
          <w:kern w:val="2"/>
          <w:sz w:val="24"/>
          <w:szCs w:val="24"/>
          <w:lang w:val="en-HK" w:eastAsia="zh-TW"/>
          <w14:ligatures w14:val="standardContextual"/>
        </w:rPr>
      </w:pPr>
      <w:r>
        <w:t>10</w:t>
      </w:r>
      <w:r>
        <w:rPr>
          <w:rFonts w:asciiTheme="minorHAnsi" w:eastAsiaTheme="minorEastAsia" w:hAnsiTheme="minorHAnsi" w:cstheme="minorBidi"/>
          <w:caps w:val="0"/>
          <w:kern w:val="2"/>
          <w:sz w:val="24"/>
          <w:szCs w:val="24"/>
          <w:lang w:val="en-HK" w:eastAsia="zh-TW"/>
          <w14:ligatures w14:val="standardContextual"/>
        </w:rPr>
        <w:tab/>
      </w:r>
      <w:r>
        <w:t>KEY INFORMATION FOR SUBSCRIBING AND REDEEMING</w:t>
      </w:r>
      <w:r>
        <w:tab/>
      </w:r>
      <w:r>
        <w:fldChar w:fldCharType="begin"/>
      </w:r>
      <w:r>
        <w:instrText xml:space="preserve"> PAGEREF _Toc191388734 \h </w:instrText>
      </w:r>
      <w:r>
        <w:fldChar w:fldCharType="separate"/>
      </w:r>
      <w:r>
        <w:t>8</w:t>
      </w:r>
      <w:r>
        <w:fldChar w:fldCharType="end"/>
      </w:r>
    </w:p>
    <w:p w14:paraId="302DF63C" w14:textId="716F74DE" w:rsidR="00E54D92" w:rsidRDefault="00E54D92">
      <w:pPr>
        <w:pStyle w:val="TOC1"/>
        <w:rPr>
          <w:rFonts w:asciiTheme="minorHAnsi" w:eastAsiaTheme="minorEastAsia" w:hAnsiTheme="minorHAnsi" w:cstheme="minorBidi"/>
          <w:caps w:val="0"/>
          <w:kern w:val="2"/>
          <w:sz w:val="24"/>
          <w:szCs w:val="24"/>
          <w:lang w:val="en-HK" w:eastAsia="zh-TW"/>
          <w14:ligatures w14:val="standardContextual"/>
        </w:rPr>
      </w:pPr>
      <w:r>
        <w:t>11</w:t>
      </w:r>
      <w:r>
        <w:rPr>
          <w:rFonts w:asciiTheme="minorHAnsi" w:eastAsiaTheme="minorEastAsia" w:hAnsiTheme="minorHAnsi" w:cstheme="minorBidi"/>
          <w:caps w:val="0"/>
          <w:kern w:val="2"/>
          <w:sz w:val="24"/>
          <w:szCs w:val="24"/>
          <w:lang w:val="en-HK" w:eastAsia="zh-TW"/>
          <w14:ligatures w14:val="standardContextual"/>
        </w:rPr>
        <w:tab/>
      </w:r>
      <w:r>
        <w:t>HOW TO SUBSCRIBE FOR SHARES</w:t>
      </w:r>
      <w:r>
        <w:tab/>
      </w:r>
      <w:r>
        <w:fldChar w:fldCharType="begin"/>
      </w:r>
      <w:r>
        <w:instrText xml:space="preserve"> PAGEREF _Toc191388735 \h </w:instrText>
      </w:r>
      <w:r>
        <w:fldChar w:fldCharType="separate"/>
      </w:r>
      <w:r>
        <w:t>11</w:t>
      </w:r>
      <w:r>
        <w:fldChar w:fldCharType="end"/>
      </w:r>
    </w:p>
    <w:p w14:paraId="6E4C2380" w14:textId="3CEA8B0E" w:rsidR="00E54D92" w:rsidRDefault="00E54D92">
      <w:pPr>
        <w:pStyle w:val="TOC1"/>
        <w:rPr>
          <w:rFonts w:asciiTheme="minorHAnsi" w:eastAsiaTheme="minorEastAsia" w:hAnsiTheme="minorHAnsi" w:cstheme="minorBidi"/>
          <w:caps w:val="0"/>
          <w:kern w:val="2"/>
          <w:sz w:val="24"/>
          <w:szCs w:val="24"/>
          <w:lang w:val="en-HK" w:eastAsia="zh-TW"/>
          <w14:ligatures w14:val="standardContextual"/>
        </w:rPr>
      </w:pPr>
      <w:r>
        <w:t>12</w:t>
      </w:r>
      <w:r>
        <w:rPr>
          <w:rFonts w:asciiTheme="minorHAnsi" w:eastAsiaTheme="minorEastAsia" w:hAnsiTheme="minorHAnsi" w:cstheme="minorBidi"/>
          <w:caps w:val="0"/>
          <w:kern w:val="2"/>
          <w:sz w:val="24"/>
          <w:szCs w:val="24"/>
          <w:lang w:val="en-HK" w:eastAsia="zh-TW"/>
          <w14:ligatures w14:val="standardContextual"/>
        </w:rPr>
        <w:tab/>
      </w:r>
      <w:r>
        <w:t>HOW TO REDEEM SHARES</w:t>
      </w:r>
      <w:r>
        <w:tab/>
      </w:r>
      <w:r>
        <w:fldChar w:fldCharType="begin"/>
      </w:r>
      <w:r>
        <w:instrText xml:space="preserve"> PAGEREF _Toc191388736 \h </w:instrText>
      </w:r>
      <w:r>
        <w:fldChar w:fldCharType="separate"/>
      </w:r>
      <w:r>
        <w:t>11</w:t>
      </w:r>
      <w:r>
        <w:fldChar w:fldCharType="end"/>
      </w:r>
    </w:p>
    <w:p w14:paraId="79FADF2E" w14:textId="19A878FC" w:rsidR="00E54D92" w:rsidRDefault="00E54D92">
      <w:pPr>
        <w:pStyle w:val="TOC1"/>
        <w:rPr>
          <w:rFonts w:asciiTheme="minorHAnsi" w:eastAsiaTheme="minorEastAsia" w:hAnsiTheme="minorHAnsi" w:cstheme="minorBidi"/>
          <w:caps w:val="0"/>
          <w:kern w:val="2"/>
          <w:sz w:val="24"/>
          <w:szCs w:val="24"/>
          <w:lang w:val="en-HK" w:eastAsia="zh-TW"/>
          <w14:ligatures w14:val="standardContextual"/>
        </w:rPr>
      </w:pPr>
      <w:r>
        <w:t>13</w:t>
      </w:r>
      <w:r>
        <w:rPr>
          <w:rFonts w:asciiTheme="minorHAnsi" w:eastAsiaTheme="minorEastAsia" w:hAnsiTheme="minorHAnsi" w:cstheme="minorBidi"/>
          <w:caps w:val="0"/>
          <w:kern w:val="2"/>
          <w:sz w:val="24"/>
          <w:szCs w:val="24"/>
          <w:lang w:val="en-HK" w:eastAsia="zh-TW"/>
          <w14:ligatures w14:val="standardContextual"/>
        </w:rPr>
        <w:tab/>
      </w:r>
      <w:r>
        <w:t>ANTI-MONEY LAUNDERING</w:t>
      </w:r>
      <w:r>
        <w:tab/>
      </w:r>
      <w:r>
        <w:fldChar w:fldCharType="begin"/>
      </w:r>
      <w:r>
        <w:instrText xml:space="preserve"> PAGEREF _Toc191388737 \h </w:instrText>
      </w:r>
      <w:r>
        <w:fldChar w:fldCharType="separate"/>
      </w:r>
      <w:r>
        <w:t>11</w:t>
      </w:r>
      <w:r>
        <w:fldChar w:fldCharType="end"/>
      </w:r>
    </w:p>
    <w:p w14:paraId="2850E751" w14:textId="4D95B9C8" w:rsidR="00E54D92" w:rsidRDefault="00E54D92">
      <w:pPr>
        <w:pStyle w:val="TOC1"/>
        <w:rPr>
          <w:rFonts w:asciiTheme="minorHAnsi" w:eastAsiaTheme="minorEastAsia" w:hAnsiTheme="minorHAnsi" w:cstheme="minorBidi"/>
          <w:caps w:val="0"/>
          <w:kern w:val="2"/>
          <w:sz w:val="24"/>
          <w:szCs w:val="24"/>
          <w:lang w:val="en-HK" w:eastAsia="zh-TW"/>
          <w14:ligatures w14:val="standardContextual"/>
        </w:rPr>
      </w:pPr>
      <w:r>
        <w:t>14</w:t>
      </w:r>
      <w:r>
        <w:rPr>
          <w:rFonts w:asciiTheme="minorHAnsi" w:eastAsiaTheme="minorEastAsia" w:hAnsiTheme="minorHAnsi" w:cstheme="minorBidi"/>
          <w:caps w:val="0"/>
          <w:kern w:val="2"/>
          <w:sz w:val="24"/>
          <w:szCs w:val="24"/>
          <w:lang w:val="en-HK" w:eastAsia="zh-TW"/>
          <w14:ligatures w14:val="standardContextual"/>
        </w:rPr>
        <w:tab/>
      </w:r>
      <w:r>
        <w:t>FEES AND EXPENSES</w:t>
      </w:r>
      <w:r>
        <w:tab/>
      </w:r>
      <w:r>
        <w:fldChar w:fldCharType="begin"/>
      </w:r>
      <w:r>
        <w:instrText xml:space="preserve"> PAGEREF _Toc191388738 \h </w:instrText>
      </w:r>
      <w:r>
        <w:fldChar w:fldCharType="separate"/>
      </w:r>
      <w:r>
        <w:t>11</w:t>
      </w:r>
      <w:r>
        <w:fldChar w:fldCharType="end"/>
      </w:r>
    </w:p>
    <w:p w14:paraId="42C6CECA" w14:textId="7C3DF4EA" w:rsidR="00E54D92" w:rsidRDefault="00E54D92">
      <w:pPr>
        <w:pStyle w:val="TOC1"/>
        <w:rPr>
          <w:rFonts w:asciiTheme="minorHAnsi" w:eastAsiaTheme="minorEastAsia" w:hAnsiTheme="minorHAnsi" w:cstheme="minorBidi"/>
          <w:caps w:val="0"/>
          <w:kern w:val="2"/>
          <w:sz w:val="24"/>
          <w:szCs w:val="24"/>
          <w:lang w:val="en-HK" w:eastAsia="zh-TW"/>
          <w14:ligatures w14:val="standardContextual"/>
        </w:rPr>
      </w:pPr>
      <w:r>
        <w:t>15</w:t>
      </w:r>
      <w:r>
        <w:rPr>
          <w:rFonts w:asciiTheme="minorHAnsi" w:eastAsiaTheme="minorEastAsia" w:hAnsiTheme="minorHAnsi" w:cstheme="minorBidi"/>
          <w:caps w:val="0"/>
          <w:kern w:val="2"/>
          <w:sz w:val="24"/>
          <w:szCs w:val="24"/>
          <w:lang w:val="en-HK" w:eastAsia="zh-TW"/>
          <w14:ligatures w14:val="standardContextual"/>
        </w:rPr>
        <w:tab/>
      </w:r>
      <w:r>
        <w:t>LONG AND SHORT POSITIONS</w:t>
      </w:r>
      <w:r>
        <w:tab/>
      </w:r>
      <w:r>
        <w:fldChar w:fldCharType="begin"/>
      </w:r>
      <w:r>
        <w:instrText xml:space="preserve"> PAGEREF _Toc191388739 \h </w:instrText>
      </w:r>
      <w:r>
        <w:fldChar w:fldCharType="separate"/>
      </w:r>
      <w:r>
        <w:t>15</w:t>
      </w:r>
      <w:r>
        <w:fldChar w:fldCharType="end"/>
      </w:r>
    </w:p>
    <w:p w14:paraId="5FF7F658" w14:textId="45A740CE" w:rsidR="00E54D92" w:rsidRDefault="00E54D92">
      <w:pPr>
        <w:pStyle w:val="TOC1"/>
        <w:rPr>
          <w:rFonts w:asciiTheme="minorHAnsi" w:eastAsiaTheme="minorEastAsia" w:hAnsiTheme="minorHAnsi" w:cstheme="minorBidi"/>
          <w:caps w:val="0"/>
          <w:kern w:val="2"/>
          <w:sz w:val="24"/>
          <w:szCs w:val="24"/>
          <w:lang w:val="en-HK" w:eastAsia="zh-TW"/>
          <w14:ligatures w14:val="standardContextual"/>
        </w:rPr>
      </w:pPr>
      <w:r>
        <w:t>16</w:t>
      </w:r>
      <w:r>
        <w:rPr>
          <w:rFonts w:asciiTheme="minorHAnsi" w:eastAsiaTheme="minorEastAsia" w:hAnsiTheme="minorHAnsi" w:cstheme="minorBidi"/>
          <w:caps w:val="0"/>
          <w:kern w:val="2"/>
          <w:sz w:val="24"/>
          <w:szCs w:val="24"/>
          <w:lang w:val="en-HK" w:eastAsia="zh-TW"/>
          <w14:ligatures w14:val="standardContextual"/>
        </w:rPr>
        <w:tab/>
      </w:r>
      <w:r>
        <w:t>MISCELLANEOUS</w:t>
      </w:r>
      <w:r>
        <w:tab/>
      </w:r>
      <w:r>
        <w:fldChar w:fldCharType="begin"/>
      </w:r>
      <w:r>
        <w:instrText xml:space="preserve"> PAGEREF _Toc191388740 \h </w:instrText>
      </w:r>
      <w:r>
        <w:fldChar w:fldCharType="separate"/>
      </w:r>
      <w:r>
        <w:t>15</w:t>
      </w:r>
      <w:r>
        <w:fldChar w:fldCharType="end"/>
      </w:r>
    </w:p>
    <w:p w14:paraId="3CE46D21" w14:textId="46B27B70" w:rsidR="00885C70" w:rsidRPr="00A1648F" w:rsidRDefault="00DA2E2B" w:rsidP="005F28D3">
      <w:r w:rsidRPr="00745689">
        <w:fldChar w:fldCharType="end"/>
      </w:r>
    </w:p>
    <w:p w14:paraId="615F7047" w14:textId="6CDCD47A" w:rsidR="00885C70" w:rsidRPr="00BF1B19" w:rsidRDefault="00885C70" w:rsidP="00745689">
      <w:pPr>
        <w:sectPr w:rsidR="00885C70" w:rsidRPr="00BF1B19" w:rsidSect="005F28D3">
          <w:headerReference w:type="even" r:id="rId14"/>
          <w:headerReference w:type="default" r:id="rId15"/>
          <w:footerReference w:type="even" r:id="rId16"/>
          <w:footerReference w:type="default" r:id="rId17"/>
          <w:headerReference w:type="first" r:id="rId18"/>
          <w:footerReference w:type="first" r:id="rId19"/>
          <w:pgSz w:w="11910" w:h="16840"/>
          <w:pgMar w:top="1134" w:right="1134" w:bottom="1134" w:left="1134" w:header="0" w:footer="655" w:gutter="0"/>
          <w:cols w:space="720"/>
          <w:docGrid w:linePitch="245"/>
        </w:sectPr>
      </w:pPr>
    </w:p>
    <w:p w14:paraId="6314CAC7" w14:textId="567BED82" w:rsidR="009822ED" w:rsidRPr="00BF1B19" w:rsidRDefault="00453715" w:rsidP="00745689">
      <w:pPr>
        <w:pStyle w:val="Level1"/>
        <w:keepNext/>
        <w:tabs>
          <w:tab w:val="clear" w:pos="851"/>
        </w:tabs>
        <w:ind w:left="720" w:hanging="720"/>
      </w:pPr>
      <w:r w:rsidRPr="00BF1B19">
        <w:rPr>
          <w:rStyle w:val="Level1asHeadingtext"/>
        </w:rPr>
        <w:lastRenderedPageBreak/>
        <w:t>INVESTMENT OBJECTIVE AND</w:t>
      </w:r>
      <w:r w:rsidR="009822ED" w:rsidRPr="00BF1B19">
        <w:rPr>
          <w:rStyle w:val="Level1asHeadingtext"/>
        </w:rPr>
        <w:t xml:space="preserve"> POLICIES</w:t>
      </w:r>
      <w:bookmarkStart w:id="2" w:name="_NN2"/>
      <w:bookmarkEnd w:id="2"/>
      <w:r w:rsidR="00DA2E2B" w:rsidRPr="00BF1B19">
        <w:fldChar w:fldCharType="begin"/>
      </w:r>
      <w:r w:rsidR="00DA2E2B" w:rsidRPr="00BF1B19">
        <w:instrText xml:space="preserve"> TC "</w:instrText>
      </w:r>
      <w:r w:rsidR="00DA2E2B" w:rsidRPr="00BF1B19">
        <w:fldChar w:fldCharType="begin"/>
      </w:r>
      <w:r w:rsidR="00DA2E2B" w:rsidRPr="00BF1B19">
        <w:instrText xml:space="preserve"> REF _NN2\r \h </w:instrText>
      </w:r>
      <w:r w:rsidR="00D8760C" w:rsidRPr="00BF1B19">
        <w:instrText xml:space="preserve"> \* MERGEFORMAT </w:instrText>
      </w:r>
      <w:r w:rsidR="00DA2E2B" w:rsidRPr="00BF1B19">
        <w:fldChar w:fldCharType="separate"/>
      </w:r>
      <w:bookmarkStart w:id="3" w:name="_Toc98334745"/>
      <w:bookmarkStart w:id="4" w:name="_Toc172121806"/>
      <w:bookmarkStart w:id="5" w:name="_Toc191388725"/>
      <w:r w:rsidR="00860B2D">
        <w:instrText>1</w:instrText>
      </w:r>
      <w:r w:rsidR="00DA2E2B" w:rsidRPr="00BF1B19">
        <w:fldChar w:fldCharType="end"/>
      </w:r>
      <w:r w:rsidR="00DA2E2B" w:rsidRPr="00BF1B19">
        <w:tab/>
        <w:instrText>INVESTMENT OBJECTIVE AND POLICIES</w:instrText>
      </w:r>
      <w:bookmarkEnd w:id="3"/>
      <w:bookmarkEnd w:id="4"/>
      <w:bookmarkEnd w:id="5"/>
      <w:r w:rsidR="00DA2E2B" w:rsidRPr="00BF1B19">
        <w:instrText xml:space="preserve">" \l 1 </w:instrText>
      </w:r>
      <w:r w:rsidR="00DA2E2B" w:rsidRPr="00BF1B19">
        <w:fldChar w:fldCharType="end"/>
      </w:r>
    </w:p>
    <w:p w14:paraId="2563343A" w14:textId="4C89F1F9" w:rsidR="00424F46" w:rsidRPr="00BF1B19" w:rsidRDefault="00453715" w:rsidP="004E3F67">
      <w:pPr>
        <w:spacing w:before="79"/>
        <w:ind w:left="720"/>
        <w:rPr>
          <w:b/>
        </w:rPr>
      </w:pPr>
      <w:r w:rsidRPr="00BF1B19">
        <w:rPr>
          <w:b/>
        </w:rPr>
        <w:t>Investment Objective</w:t>
      </w:r>
    </w:p>
    <w:p w14:paraId="7CF4BB22" w14:textId="77777777" w:rsidR="005C1736" w:rsidRPr="00BF1B19" w:rsidRDefault="005C1736" w:rsidP="005F28D3">
      <w:pPr>
        <w:ind w:left="720"/>
      </w:pPr>
    </w:p>
    <w:p w14:paraId="69D76624" w14:textId="77777777" w:rsidR="00424F46" w:rsidRPr="00BF1B19" w:rsidRDefault="00453715" w:rsidP="005F28D3">
      <w:pPr>
        <w:pStyle w:val="BodyText"/>
        <w:ind w:left="720"/>
        <w:jc w:val="both"/>
      </w:pPr>
      <w:r w:rsidRPr="00BF1B19">
        <w:t xml:space="preserve">The Fund aims to achieve long term capital growth for investors over a 3 – </w:t>
      </w:r>
      <w:proofErr w:type="gramStart"/>
      <w:r w:rsidRPr="00BF1B19">
        <w:t>5 year</w:t>
      </w:r>
      <w:proofErr w:type="gramEnd"/>
      <w:r w:rsidRPr="00BF1B19">
        <w:t xml:space="preserve"> investment horizon. Investors should note that there is no guarantee that the Fund will achieve this objective over </w:t>
      </w:r>
      <w:proofErr w:type="gramStart"/>
      <w:r w:rsidRPr="00BF1B19">
        <w:t>this</w:t>
      </w:r>
      <w:proofErr w:type="gramEnd"/>
      <w:r w:rsidRPr="00BF1B19">
        <w:t xml:space="preserve"> or any period and that capital is at risk.</w:t>
      </w:r>
    </w:p>
    <w:p w14:paraId="07766174" w14:textId="77777777" w:rsidR="00424F46" w:rsidRPr="00BF1B19" w:rsidRDefault="00424F46" w:rsidP="005F28D3">
      <w:pPr>
        <w:pStyle w:val="BodyText"/>
        <w:ind w:left="720"/>
      </w:pPr>
    </w:p>
    <w:p w14:paraId="6385419B" w14:textId="77777777" w:rsidR="00424F46" w:rsidRPr="00BF1B19" w:rsidRDefault="00453715" w:rsidP="00745689">
      <w:pPr>
        <w:keepNext/>
        <w:spacing w:after="240"/>
        <w:ind w:left="720"/>
        <w:rPr>
          <w:b/>
        </w:rPr>
      </w:pPr>
      <w:r w:rsidRPr="00BF1B19">
        <w:rPr>
          <w:b/>
        </w:rPr>
        <w:t>Profile of a Typical Investor</w:t>
      </w:r>
    </w:p>
    <w:p w14:paraId="58F32BBF" w14:textId="77777777" w:rsidR="00424F46" w:rsidRPr="00BF1B19" w:rsidRDefault="00453715" w:rsidP="005F28D3">
      <w:pPr>
        <w:pStyle w:val="BodyText"/>
        <w:ind w:left="720"/>
        <w:jc w:val="both"/>
      </w:pPr>
      <w:r w:rsidRPr="00BF1B19">
        <w:t>This Fund is suitable for investors who primarily seek capital growth. Investors should have a high tolerance for risk and be willing and able to accept volatility and/or potential losses. This Fund is not appropriate for short term investment and is designed for investors who will hold shares in the Fund as part of a wider diversified portfolio.</w:t>
      </w:r>
    </w:p>
    <w:p w14:paraId="03E22AA9" w14:textId="77777777" w:rsidR="00424F46" w:rsidRPr="00BF1B19" w:rsidRDefault="00424F46" w:rsidP="005F28D3">
      <w:pPr>
        <w:pStyle w:val="BodyText"/>
        <w:ind w:left="720"/>
        <w:jc w:val="both"/>
      </w:pPr>
    </w:p>
    <w:p w14:paraId="168B5AEE" w14:textId="77777777" w:rsidR="00424F46" w:rsidRPr="00BF1B19" w:rsidRDefault="00453715" w:rsidP="00745689">
      <w:pPr>
        <w:keepNext/>
        <w:spacing w:after="240"/>
        <w:ind w:left="720"/>
        <w:rPr>
          <w:b/>
        </w:rPr>
      </w:pPr>
      <w:r w:rsidRPr="00BF1B19">
        <w:rPr>
          <w:b/>
        </w:rPr>
        <w:t>Investment Policy</w:t>
      </w:r>
    </w:p>
    <w:p w14:paraId="5D97CB89" w14:textId="71AF126C" w:rsidR="005450D0" w:rsidRPr="00BF1B19" w:rsidRDefault="006E7F26" w:rsidP="00745689">
      <w:pPr>
        <w:pStyle w:val="BodyText"/>
        <w:ind w:left="720"/>
        <w:jc w:val="both"/>
      </w:pPr>
      <w:bookmarkStart w:id="6" w:name="OLE_LINK7"/>
      <w:bookmarkStart w:id="7" w:name="OLE_LINK8"/>
      <w:bookmarkStart w:id="8" w:name="OLE_LINK9"/>
      <w:r w:rsidRPr="00BF1B19">
        <w:t xml:space="preserve">The </w:t>
      </w:r>
      <w:r w:rsidR="00806B54" w:rsidRPr="00BF1B19">
        <w:t>investment</w:t>
      </w:r>
      <w:r w:rsidR="009E64F0" w:rsidRPr="00BF1B19">
        <w:t xml:space="preserve"> objective of the Fund is to achieve long term capital growth by using </w:t>
      </w:r>
      <w:r w:rsidR="00EA38F0" w:rsidRPr="00BF1B19">
        <w:t>a</w:t>
      </w:r>
      <w:r w:rsidR="00C96BE3" w:rsidRPr="00BF1B19">
        <w:t xml:space="preserve"> relative value,</w:t>
      </w:r>
      <w:r w:rsidR="00EA38F0" w:rsidRPr="00BF1B19">
        <w:t xml:space="preserve"> </w:t>
      </w:r>
      <w:r w:rsidR="009E64F0" w:rsidRPr="00BF1B19">
        <w:t xml:space="preserve">systematic </w:t>
      </w:r>
      <w:r w:rsidR="00EA38F0" w:rsidRPr="00BF1B19">
        <w:t xml:space="preserve">trading </w:t>
      </w:r>
      <w:r w:rsidR="00F473D9" w:rsidRPr="00BF1B19">
        <w:t>technique</w:t>
      </w:r>
      <w:r w:rsidR="00EA38F0" w:rsidRPr="00BF1B19">
        <w:t xml:space="preserve"> based on</w:t>
      </w:r>
      <w:r w:rsidR="00C96BE3" w:rsidRPr="00BF1B19">
        <w:t xml:space="preserve"> mathematical models</w:t>
      </w:r>
      <w:r w:rsidR="007D56A1" w:rsidRPr="00BF1B19">
        <w:t xml:space="preserve"> developed by the Sub-Investment Manager</w:t>
      </w:r>
      <w:r w:rsidR="00C96BE3" w:rsidRPr="00BF1B19">
        <w:t xml:space="preserve">. The </w:t>
      </w:r>
      <w:r w:rsidR="00806B54" w:rsidRPr="00BF1B19">
        <w:t>models</w:t>
      </w:r>
      <w:r w:rsidR="00C96BE3" w:rsidRPr="00BF1B19">
        <w:t xml:space="preserve"> aim to seek and </w:t>
      </w:r>
      <w:r w:rsidR="00806B54" w:rsidRPr="00BF1B19">
        <w:t>identify patterns of price changes</w:t>
      </w:r>
      <w:r w:rsidR="00D764E9" w:rsidRPr="00BF1B19">
        <w:t xml:space="preserve"> that manifest on dual listed</w:t>
      </w:r>
      <w:r w:rsidR="00252F3B" w:rsidRPr="00BF1B19">
        <w:t xml:space="preserve"> or related</w:t>
      </w:r>
      <w:r w:rsidR="00D764E9" w:rsidRPr="00BF1B19">
        <w:t xml:space="preserve"> securities including </w:t>
      </w:r>
      <w:r w:rsidR="00C96BE3" w:rsidRPr="00BF1B19">
        <w:t>cash equities,</w:t>
      </w:r>
      <w:r w:rsidR="004B60D2" w:rsidRPr="00BF1B19">
        <w:t xml:space="preserve"> equit</w:t>
      </w:r>
      <w:r w:rsidR="00990ED3" w:rsidRPr="00BF1B19">
        <w:t>y</w:t>
      </w:r>
      <w:r w:rsidR="004B60D2" w:rsidRPr="00BF1B19">
        <w:t xml:space="preserve"> swaps</w:t>
      </w:r>
      <w:r w:rsidR="00091A66" w:rsidRPr="00BF1B19">
        <w:t xml:space="preserve"> and</w:t>
      </w:r>
      <w:r w:rsidR="00C96BE3" w:rsidRPr="00BF1B19">
        <w:t xml:space="preserve"> futures contracts</w:t>
      </w:r>
      <w:r w:rsidR="00091A66" w:rsidRPr="00BF1B19">
        <w:t xml:space="preserve"> </w:t>
      </w:r>
      <w:r w:rsidR="005450D0" w:rsidRPr="00BF1B19">
        <w:t>listed on different exchanges</w:t>
      </w:r>
      <w:r w:rsidR="00D764E9" w:rsidRPr="00BF1B19">
        <w:t xml:space="preserve">. The program seeks to systematically </w:t>
      </w:r>
      <w:r w:rsidR="005450D0" w:rsidRPr="00BF1B19">
        <w:t xml:space="preserve">extract profits from </w:t>
      </w:r>
      <w:r w:rsidR="00D764E9" w:rsidRPr="00BF1B19">
        <w:t xml:space="preserve">these </w:t>
      </w:r>
      <w:proofErr w:type="gramStart"/>
      <w:r w:rsidR="005450D0" w:rsidRPr="00BF1B19">
        <w:t>short term</w:t>
      </w:r>
      <w:proofErr w:type="gramEnd"/>
      <w:r w:rsidR="005450D0" w:rsidRPr="00BF1B19">
        <w:t xml:space="preserve"> </w:t>
      </w:r>
      <w:r w:rsidR="005D1D51" w:rsidRPr="00BF1B19">
        <w:t>pricing differences and deliver excess returns over a market index or benchmark not linked to traditional long bias strategies</w:t>
      </w:r>
      <w:r w:rsidR="00D764E9" w:rsidRPr="00BF1B19">
        <w:t>.</w:t>
      </w:r>
      <w:r w:rsidR="00592C40" w:rsidRPr="00BF1B19">
        <w:t xml:space="preserve"> </w:t>
      </w:r>
      <w:r w:rsidR="00845FBC" w:rsidRPr="00BF1B19">
        <w:rPr>
          <w:rFonts w:cstheme="minorHAnsi"/>
        </w:rPr>
        <w:t xml:space="preserve">The index is </w:t>
      </w:r>
      <w:proofErr w:type="spellStart"/>
      <w:r w:rsidR="00845FBC" w:rsidRPr="00BF1B19">
        <w:rPr>
          <w:rFonts w:cstheme="minorHAnsi"/>
        </w:rPr>
        <w:t>HFRX</w:t>
      </w:r>
      <w:proofErr w:type="spellEnd"/>
      <w:r w:rsidR="00845FBC" w:rsidRPr="00BF1B19">
        <w:rPr>
          <w:rFonts w:cstheme="minorHAnsi"/>
        </w:rPr>
        <w:t xml:space="preserve"> Global Hedge Fund </w:t>
      </w:r>
      <w:proofErr w:type="gramStart"/>
      <w:r w:rsidR="00845FBC" w:rsidRPr="00BF1B19">
        <w:rPr>
          <w:rFonts w:cstheme="minorHAnsi"/>
        </w:rPr>
        <w:t>Index</w:t>
      </w:r>
      <w:proofErr w:type="gramEnd"/>
      <w:r w:rsidR="00845FBC" w:rsidRPr="00BF1B19">
        <w:rPr>
          <w:rFonts w:cstheme="minorHAnsi"/>
        </w:rPr>
        <w:t xml:space="preserve"> and the index will only be used for performance comparison.</w:t>
      </w:r>
      <w:r w:rsidR="00592C40" w:rsidRPr="00BF1B19">
        <w:rPr>
          <w:rFonts w:cstheme="minorHAnsi"/>
        </w:rPr>
        <w:t xml:space="preserve"> </w:t>
      </w:r>
      <w:r w:rsidR="000E2EB0" w:rsidRPr="00BF1B19">
        <w:t xml:space="preserve">The Fund </w:t>
      </w:r>
      <w:r w:rsidR="00D13D47" w:rsidRPr="00BF1B19">
        <w:t>may also invest no more than 10% of its Net Asset Value in transferable securities and money market instruments other than those referred to in paragraph 4.1.1 of the Prospectus</w:t>
      </w:r>
      <w:r w:rsidR="00845FBC" w:rsidRPr="00BF1B19">
        <w:t xml:space="preserve"> (the Fund will invest into open-ended structures and closed ended investment trusts)</w:t>
      </w:r>
      <w:r w:rsidR="00D13D47" w:rsidRPr="00BF1B19">
        <w:t>.</w:t>
      </w:r>
      <w:r w:rsidR="00E2181F" w:rsidRPr="00BF1B19">
        <w:t xml:space="preserve"> The Fund may take synthetic short positions in equity index futures.</w:t>
      </w:r>
      <w:r w:rsidR="00B277DE" w:rsidRPr="00BF1B19">
        <w:t xml:space="preserve"> </w:t>
      </w:r>
      <w:bookmarkStart w:id="9" w:name="_Hlk32858978"/>
      <w:r w:rsidR="00B277DE" w:rsidRPr="00BF1B19">
        <w:rPr>
          <w:color w:val="0D0D0D"/>
        </w:rPr>
        <w:t xml:space="preserve">Emerging markets exposure </w:t>
      </w:r>
      <w:r w:rsidR="00445CE3" w:rsidRPr="00BF1B19">
        <w:rPr>
          <w:color w:val="0D0D0D"/>
        </w:rPr>
        <w:t>is most likely to be</w:t>
      </w:r>
      <w:r w:rsidR="00B277DE" w:rsidRPr="00BF1B19">
        <w:rPr>
          <w:color w:val="0D0D0D"/>
        </w:rPr>
        <w:t xml:space="preserve"> approximately </w:t>
      </w:r>
      <w:r w:rsidR="00445CE3" w:rsidRPr="00BF1B19">
        <w:rPr>
          <w:color w:val="0D0D0D"/>
        </w:rPr>
        <w:t>60</w:t>
      </w:r>
      <w:r w:rsidR="00B277DE" w:rsidRPr="00BF1B19">
        <w:rPr>
          <w:color w:val="0D0D0D"/>
        </w:rPr>
        <w:t xml:space="preserve">% to </w:t>
      </w:r>
      <w:r w:rsidR="00445CE3" w:rsidRPr="00BF1B19">
        <w:rPr>
          <w:color w:val="0D0D0D"/>
        </w:rPr>
        <w:t>70</w:t>
      </w:r>
      <w:r w:rsidR="00B277DE" w:rsidRPr="00BF1B19">
        <w:rPr>
          <w:color w:val="0D0D0D"/>
        </w:rPr>
        <w:t xml:space="preserve">% of the Net Asset Value of the Fund. </w:t>
      </w:r>
      <w:bookmarkEnd w:id="9"/>
    </w:p>
    <w:p w14:paraId="4387B547" w14:textId="77777777" w:rsidR="00B97564" w:rsidRPr="00BF1B19" w:rsidRDefault="00B97564" w:rsidP="00745689">
      <w:pPr>
        <w:pStyle w:val="BodyText"/>
        <w:ind w:left="720"/>
        <w:jc w:val="both"/>
      </w:pPr>
    </w:p>
    <w:bookmarkEnd w:id="6"/>
    <w:bookmarkEnd w:id="7"/>
    <w:bookmarkEnd w:id="8"/>
    <w:p w14:paraId="432D056D" w14:textId="77777777" w:rsidR="00424F46" w:rsidRPr="00BF1B19" w:rsidRDefault="00453715" w:rsidP="00745689">
      <w:pPr>
        <w:keepNext/>
        <w:spacing w:after="240"/>
        <w:ind w:left="720"/>
        <w:rPr>
          <w:b/>
        </w:rPr>
      </w:pPr>
      <w:r w:rsidRPr="00BF1B19">
        <w:rPr>
          <w:b/>
        </w:rPr>
        <w:t>The Program</w:t>
      </w:r>
    </w:p>
    <w:p w14:paraId="3F92E7F0" w14:textId="02114F17" w:rsidR="0063608A" w:rsidRPr="00BF1B19" w:rsidRDefault="00E17641" w:rsidP="00745689">
      <w:pPr>
        <w:pStyle w:val="BodyText"/>
        <w:ind w:left="720"/>
        <w:jc w:val="both"/>
      </w:pPr>
      <w:r w:rsidRPr="00BF1B19">
        <w:t>This strategy</w:t>
      </w:r>
      <w:r w:rsidR="0039404D" w:rsidRPr="00BF1B19">
        <w:t>,</w:t>
      </w:r>
      <w:r w:rsidRPr="00BF1B19">
        <w:t xml:space="preserve"> </w:t>
      </w:r>
      <w:r w:rsidR="007D56A1" w:rsidRPr="00BF1B19">
        <w:t xml:space="preserve">which is the strategy of the Sub-Investment Manager, </w:t>
      </w:r>
      <w:r w:rsidRPr="00BF1B19">
        <w:t>focuses on spread trading opportunities</w:t>
      </w:r>
      <w:r w:rsidR="00CC5F08" w:rsidRPr="00BF1B19">
        <w:t xml:space="preserve"> (</w:t>
      </w:r>
      <w:r w:rsidR="000079E6" w:rsidRPr="00BF1B19">
        <w:t>including</w:t>
      </w:r>
      <w:r w:rsidR="00CC5F08" w:rsidRPr="00BF1B19">
        <w:t xml:space="preserve"> geographical spread</w:t>
      </w:r>
      <w:r w:rsidR="000079E6" w:rsidRPr="00BF1B19">
        <w:t xml:space="preserve">, calendar </w:t>
      </w:r>
      <w:proofErr w:type="gramStart"/>
      <w:r w:rsidR="000079E6" w:rsidRPr="00BF1B19">
        <w:t>spread</w:t>
      </w:r>
      <w:proofErr w:type="gramEnd"/>
      <w:r w:rsidR="001322D4" w:rsidRPr="00BF1B19">
        <w:t xml:space="preserve"> and</w:t>
      </w:r>
      <w:r w:rsidR="000079E6" w:rsidRPr="00BF1B19">
        <w:t xml:space="preserve"> </w:t>
      </w:r>
      <w:r w:rsidR="00B17BCF" w:rsidRPr="00BF1B19">
        <w:t>volatility spread</w:t>
      </w:r>
      <w:r w:rsidR="00CC5F08" w:rsidRPr="00BF1B19">
        <w:t>)</w:t>
      </w:r>
      <w:r w:rsidRPr="00BF1B19">
        <w:t xml:space="preserve"> </w:t>
      </w:r>
      <w:r w:rsidR="00EA38F0" w:rsidRPr="00BF1B19">
        <w:t>with</w:t>
      </w:r>
      <w:r w:rsidRPr="00BF1B19">
        <w:t xml:space="preserve">in </w:t>
      </w:r>
      <w:r w:rsidR="006E7F26" w:rsidRPr="00BF1B19">
        <w:t>the</w:t>
      </w:r>
      <w:r w:rsidR="00704109" w:rsidRPr="00BF1B19">
        <w:t xml:space="preserve"> </w:t>
      </w:r>
      <w:r w:rsidR="000577BA" w:rsidRPr="00BF1B19">
        <w:t>listed securities</w:t>
      </w:r>
      <w:r w:rsidR="0089780A" w:rsidRPr="00BF1B19">
        <w:t xml:space="preserve"> markets</w:t>
      </w:r>
      <w:r w:rsidRPr="00BF1B19">
        <w:t xml:space="preserve"> </w:t>
      </w:r>
      <w:r w:rsidR="00EA38F0" w:rsidRPr="00BF1B19">
        <w:t xml:space="preserve">predominately but not limited to </w:t>
      </w:r>
      <w:r w:rsidR="00CC5F08" w:rsidRPr="00BF1B19">
        <w:t>Asia,</w:t>
      </w:r>
      <w:r w:rsidR="0089780A" w:rsidRPr="00BF1B19">
        <w:t xml:space="preserve"> US</w:t>
      </w:r>
      <w:r w:rsidR="00EA38F0" w:rsidRPr="00BF1B19">
        <w:t>, Europe</w:t>
      </w:r>
      <w:r w:rsidRPr="00BF1B19">
        <w:t xml:space="preserve"> and</w:t>
      </w:r>
      <w:r w:rsidR="00EA38F0" w:rsidRPr="00BF1B19">
        <w:t xml:space="preserve"> may periodically </w:t>
      </w:r>
      <w:r w:rsidR="00294447" w:rsidRPr="00BF1B19">
        <w:t>include other</w:t>
      </w:r>
      <w:r w:rsidRPr="00BF1B19">
        <w:t xml:space="preserve"> international </w:t>
      </w:r>
      <w:r w:rsidR="0008180D" w:rsidRPr="00BF1B19">
        <w:t>regions</w:t>
      </w:r>
      <w:r w:rsidR="00EA38F0" w:rsidRPr="00BF1B19">
        <w:t xml:space="preserve"> that exhibit sufficient liquidity and opportunities</w:t>
      </w:r>
      <w:r w:rsidRPr="00BF1B19">
        <w:t>.</w:t>
      </w:r>
      <w:r w:rsidR="006D62ED" w:rsidRPr="00BF1B19">
        <w:t xml:space="preserve"> A spread is a relative value trading strategy in the same or similar assets usually with one leg long and one leg short. An example of geographic spread is long Ping An A shares listed in Shanghai and short Ping An H shares listed in Hong Kong. This spread will make profit if the A-share premium expands over the H-share.</w:t>
      </w:r>
      <w:r w:rsidRPr="00BF1B19">
        <w:t xml:space="preserve"> </w:t>
      </w:r>
      <w:r w:rsidR="006E7F26" w:rsidRPr="00BF1B19">
        <w:t>The program</w:t>
      </w:r>
      <w:r w:rsidRPr="00BF1B19">
        <w:t xml:space="preserve"> </w:t>
      </w:r>
      <w:r w:rsidR="007D56A1" w:rsidRPr="00BF1B19">
        <w:t xml:space="preserve">developed by the Sub-Investment Manager </w:t>
      </w:r>
      <w:r w:rsidRPr="00BF1B19">
        <w:t>buy</w:t>
      </w:r>
      <w:r w:rsidR="006E7F26" w:rsidRPr="00BF1B19">
        <w:t>s</w:t>
      </w:r>
      <w:r w:rsidRPr="00BF1B19">
        <w:t xml:space="preserve"> and sell</w:t>
      </w:r>
      <w:r w:rsidR="006E7F26" w:rsidRPr="00BF1B19">
        <w:t>s</w:t>
      </w:r>
      <w:r w:rsidRPr="00BF1B19">
        <w:t xml:space="preserve"> the same or similar assets listed on different exchanges simultaneously</w:t>
      </w:r>
      <w:r w:rsidR="00EA38F0" w:rsidRPr="00BF1B19">
        <w:t xml:space="preserve"> using a relative value trading style which</w:t>
      </w:r>
      <w:r w:rsidR="006E7F26" w:rsidRPr="00BF1B19">
        <w:t xml:space="preserve"> </w:t>
      </w:r>
      <w:r w:rsidRPr="00BF1B19">
        <w:t xml:space="preserve">generates pure alpha return with minimal directional exposure and close to zero correlation to </w:t>
      </w:r>
      <w:r w:rsidR="00EA38F0" w:rsidRPr="00BF1B19">
        <w:t xml:space="preserve">traditional </w:t>
      </w:r>
      <w:r w:rsidRPr="00BF1B19">
        <w:t>market indices</w:t>
      </w:r>
      <w:r w:rsidR="00CC5F08" w:rsidRPr="00BF1B19">
        <w:t>.</w:t>
      </w:r>
      <w:r w:rsidR="00DB66AB" w:rsidRPr="00BF1B19">
        <w:t xml:space="preserve"> For equity strategy the </w:t>
      </w:r>
      <w:r w:rsidR="00845FBC" w:rsidRPr="00BF1B19">
        <w:t>Sub-</w:t>
      </w:r>
      <w:r w:rsidR="00DB66AB" w:rsidRPr="00BF1B19">
        <w:t xml:space="preserve">Investment Manager uses mean-reversion statistics model plus fair value factors (such as valuation difference, index and currency movements) in their approach to capturing the mispricing of dual listed equities. </w:t>
      </w:r>
    </w:p>
    <w:p w14:paraId="7480F564" w14:textId="77777777" w:rsidR="0063608A" w:rsidRPr="00BF1B19" w:rsidRDefault="0063608A" w:rsidP="005F28D3">
      <w:pPr>
        <w:pStyle w:val="BodyText"/>
        <w:ind w:left="720"/>
        <w:jc w:val="both"/>
      </w:pPr>
    </w:p>
    <w:p w14:paraId="7F9EDBA6" w14:textId="75A2B5D9" w:rsidR="00E17641" w:rsidRPr="00BF1B19" w:rsidRDefault="007444AC" w:rsidP="00745689">
      <w:pPr>
        <w:pStyle w:val="BodyText"/>
        <w:ind w:left="720"/>
        <w:jc w:val="both"/>
      </w:pPr>
      <w:r w:rsidRPr="00BF1B19">
        <w:t xml:space="preserve">Overall portfolio construction </w:t>
      </w:r>
      <w:r w:rsidR="00EA38F0" w:rsidRPr="00BF1B19">
        <w:t>development</w:t>
      </w:r>
      <w:r w:rsidRPr="00BF1B19">
        <w:t xml:space="preserve"> </w:t>
      </w:r>
      <w:r w:rsidR="007D56A1" w:rsidRPr="00BF1B19">
        <w:t xml:space="preserve">by the Sub-Investment Manager </w:t>
      </w:r>
      <w:r w:rsidRPr="00BF1B19">
        <w:t xml:space="preserve">is primarily </w:t>
      </w:r>
      <w:r w:rsidR="0008180D" w:rsidRPr="00BF1B19">
        <w:t>model</w:t>
      </w:r>
      <w:r w:rsidR="000B574D" w:rsidRPr="00BF1B19">
        <w:t xml:space="preserve"> </w:t>
      </w:r>
      <w:r w:rsidRPr="00BF1B19">
        <w:t>or process driven</w:t>
      </w:r>
      <w:r w:rsidR="00EA38F0" w:rsidRPr="00BF1B19">
        <w:t xml:space="preserve"> and</w:t>
      </w:r>
      <w:r w:rsidR="002C0098" w:rsidRPr="00BF1B19">
        <w:t xml:space="preserve"> </w:t>
      </w:r>
      <w:r w:rsidR="00EA38F0" w:rsidRPr="00BF1B19">
        <w:t>t</w:t>
      </w:r>
      <w:r w:rsidRPr="00BF1B19">
        <w:t>rade execution is</w:t>
      </w:r>
      <w:r w:rsidR="00E87347" w:rsidRPr="00BF1B19">
        <w:t xml:space="preserve"> </w:t>
      </w:r>
      <w:r w:rsidRPr="00BF1B19">
        <w:t xml:space="preserve">automated. </w:t>
      </w:r>
      <w:r w:rsidR="0063608A" w:rsidRPr="00BF1B19">
        <w:t>The portfolio is constructed based on historic actual and back tested price movements and relationships of dual listed securities that show price movements which can be captured through relative value trading techniques to provide non-correlated alpha vs the wider markets. These positions and relationships are comprehensively reviewed and analysed prior to being added into the program which will then actively trade within the broader book</w:t>
      </w:r>
      <w:r w:rsidR="002F20E5" w:rsidRPr="00BF1B19">
        <w:t xml:space="preserve"> of the</w:t>
      </w:r>
      <w:r w:rsidR="00C96E54" w:rsidRPr="00BF1B19">
        <w:t xml:space="preserve"> complete portfolio of the</w:t>
      </w:r>
      <w:r w:rsidR="002F20E5" w:rsidRPr="00BF1B19">
        <w:t xml:space="preserve"> </w:t>
      </w:r>
      <w:r w:rsidR="00C96E54" w:rsidRPr="00BF1B19">
        <w:t>Fund</w:t>
      </w:r>
      <w:r w:rsidR="0063608A" w:rsidRPr="00BF1B19">
        <w:t xml:space="preserve">. </w:t>
      </w:r>
      <w:r w:rsidR="00E57506" w:rsidRPr="00BF1B19">
        <w:t>The Sub-Investment Manager analyses the new additions to the portfolio based on the overall balance of the complete portfolio (the broader book). For example, when holding A</w:t>
      </w:r>
      <w:r w:rsidR="004F2B30" w:rsidRPr="00BF1B19">
        <w:t>-</w:t>
      </w:r>
      <w:r w:rsidR="00E57506" w:rsidRPr="00BF1B19">
        <w:t xml:space="preserve">shares vs. H-shares spread positions, the Sub-Investment Manager does not want to be predominantly slanted to either “short A, long H” bias or “short H, long A” bias. It is preferred to have some balance between the two. Maintaining this balance will </w:t>
      </w:r>
      <w:r w:rsidR="004F2B30" w:rsidRPr="00BF1B19">
        <w:t xml:space="preserve">be </w:t>
      </w:r>
      <w:r w:rsidR="00E57506" w:rsidRPr="00BF1B19">
        <w:t xml:space="preserve">considered when adding any new spread positions. </w:t>
      </w:r>
      <w:r w:rsidR="0063608A" w:rsidRPr="00BF1B19">
        <w:t xml:space="preserve">When a new dual listed stock becomes available for trading i.e. Alibaba Group (9988 HK) – Nov 26 vs Alibaba (BABA US Listed), the </w:t>
      </w:r>
      <w:r w:rsidR="00A919F3" w:rsidRPr="00BF1B19">
        <w:t>Sub-Investment Manager</w:t>
      </w:r>
      <w:r w:rsidR="00A4749C" w:rsidRPr="00BF1B19">
        <w:t xml:space="preserve"> </w:t>
      </w:r>
      <w:r w:rsidR="0063608A" w:rsidRPr="00BF1B19">
        <w:t>will review, research and test prior to inclusion within the portfolio to ensure the strategy will capture the statistically calculated market patterns which will exist between the dual listing.</w:t>
      </w:r>
      <w:r w:rsidRPr="00BF1B19">
        <w:t xml:space="preserve"> </w:t>
      </w:r>
      <w:r w:rsidR="000079E6" w:rsidRPr="00BF1B19">
        <w:t xml:space="preserve">Manual override or execution is only performed </w:t>
      </w:r>
      <w:r w:rsidR="007D56A1" w:rsidRPr="00BF1B19">
        <w:t xml:space="preserve">by the Sub-Investment Manager </w:t>
      </w:r>
      <w:r w:rsidR="000079E6" w:rsidRPr="00BF1B19">
        <w:t>in case of system failure or slippage.</w:t>
      </w:r>
      <w:r w:rsidR="005D1D51" w:rsidRPr="00BF1B19">
        <w:t xml:space="preserve"> In case of system failure, a manual kill switch is available to stop the system completely. The trading team will activate the manual switch when they deem the </w:t>
      </w:r>
      <w:r w:rsidR="005D1D51" w:rsidRPr="00BF1B19">
        <w:lastRenderedPageBreak/>
        <w:t>systematic trading is deviating from the expected behaviour,</w:t>
      </w:r>
      <w:r w:rsidR="00A044DD" w:rsidRPr="00BF1B19">
        <w:t xml:space="preserve"> </w:t>
      </w:r>
      <w:r w:rsidR="005D1D51" w:rsidRPr="00BF1B19">
        <w:t>such as malfunction of the software or a server. A slippage happens when only one leg of the spread order was filled and the other leg got slipped from the current market price. The traders manually intervene and have the other leg filled to form the spread positions.</w:t>
      </w:r>
      <w:r w:rsidR="001F55CA" w:rsidRPr="00BF1B19">
        <w:t xml:space="preserve"> </w:t>
      </w:r>
    </w:p>
    <w:p w14:paraId="0C5D71E8" w14:textId="77777777" w:rsidR="00E17641" w:rsidRPr="00BF1B19" w:rsidRDefault="00E17641" w:rsidP="005F28D3">
      <w:pPr>
        <w:pStyle w:val="BodyText"/>
        <w:ind w:left="720"/>
        <w:jc w:val="both"/>
      </w:pPr>
    </w:p>
    <w:p w14:paraId="77E79BD5" w14:textId="08B433F1" w:rsidR="008F6C73" w:rsidRPr="00BF1B19" w:rsidRDefault="00806B54" w:rsidP="00745689">
      <w:pPr>
        <w:pStyle w:val="BodyText"/>
        <w:ind w:left="720"/>
        <w:jc w:val="both"/>
        <w:rPr>
          <w:bCs/>
        </w:rPr>
      </w:pPr>
      <w:r w:rsidRPr="00BF1B19">
        <w:rPr>
          <w:bCs/>
        </w:rPr>
        <w:t xml:space="preserve">The </w:t>
      </w:r>
      <w:r w:rsidR="006E7F26" w:rsidRPr="00BF1B19">
        <w:rPr>
          <w:bCs/>
        </w:rPr>
        <w:t>strategy</w:t>
      </w:r>
      <w:r w:rsidR="007D56A1" w:rsidRPr="00BF1B19">
        <w:rPr>
          <w:bCs/>
        </w:rPr>
        <w:t xml:space="preserve"> developed by the Sub-Investment Manager</w:t>
      </w:r>
      <w:r w:rsidRPr="00BF1B19">
        <w:rPr>
          <w:bCs/>
        </w:rPr>
        <w:t xml:space="preserve"> intends to mainly acquire interests in </w:t>
      </w:r>
      <w:r w:rsidR="003261E4" w:rsidRPr="00BF1B19">
        <w:rPr>
          <w:bCs/>
        </w:rPr>
        <w:t>i</w:t>
      </w:r>
      <w:r w:rsidRPr="00BF1B19">
        <w:rPr>
          <w:bCs/>
        </w:rPr>
        <w:t xml:space="preserve">nvestments </w:t>
      </w:r>
      <w:r w:rsidR="00E87347" w:rsidRPr="00BF1B19">
        <w:rPr>
          <w:bCs/>
        </w:rPr>
        <w:t>that</w:t>
      </w:r>
      <w:r w:rsidRPr="00BF1B19">
        <w:rPr>
          <w:bCs/>
        </w:rPr>
        <w:t xml:space="preserve"> are regarded by the </w:t>
      </w:r>
      <w:r w:rsidR="00845FBC" w:rsidRPr="00BF1B19">
        <w:rPr>
          <w:bCs/>
        </w:rPr>
        <w:t xml:space="preserve">Sub-Investment Manager </w:t>
      </w:r>
      <w:r w:rsidRPr="00BF1B19">
        <w:rPr>
          <w:bCs/>
        </w:rPr>
        <w:t>as liquid</w:t>
      </w:r>
      <w:r w:rsidR="0008180D" w:rsidRPr="00BF1B19">
        <w:rPr>
          <w:bCs/>
        </w:rPr>
        <w:t>,</w:t>
      </w:r>
      <w:r w:rsidRPr="00BF1B19">
        <w:rPr>
          <w:bCs/>
        </w:rPr>
        <w:t xml:space="preserve"> such as</w:t>
      </w:r>
      <w:r w:rsidR="00704109" w:rsidRPr="00BF1B19">
        <w:rPr>
          <w:bCs/>
        </w:rPr>
        <w:t xml:space="preserve"> equities,</w:t>
      </w:r>
      <w:r w:rsidRPr="00BF1B19">
        <w:rPr>
          <w:bCs/>
        </w:rPr>
        <w:t xml:space="preserve"> </w:t>
      </w:r>
      <w:r w:rsidR="0008180D" w:rsidRPr="00BF1B19">
        <w:rPr>
          <w:bCs/>
        </w:rPr>
        <w:t>futures</w:t>
      </w:r>
      <w:r w:rsidR="00026A2E" w:rsidRPr="00BF1B19">
        <w:rPr>
          <w:bCs/>
        </w:rPr>
        <w:t xml:space="preserve"> </w:t>
      </w:r>
      <w:r w:rsidR="0008180D" w:rsidRPr="00BF1B19">
        <w:rPr>
          <w:bCs/>
        </w:rPr>
        <w:t xml:space="preserve">and also </w:t>
      </w:r>
      <w:r w:rsidR="00704109" w:rsidRPr="00BF1B19">
        <w:rPr>
          <w:bCs/>
        </w:rPr>
        <w:t xml:space="preserve">other </w:t>
      </w:r>
      <w:r w:rsidR="00E87347" w:rsidRPr="00BF1B19">
        <w:rPr>
          <w:bCs/>
        </w:rPr>
        <w:t xml:space="preserve">liquid </w:t>
      </w:r>
      <w:r w:rsidRPr="00BF1B19">
        <w:rPr>
          <w:bCs/>
        </w:rPr>
        <w:t>securities</w:t>
      </w:r>
      <w:r w:rsidR="00E17641" w:rsidRPr="00BF1B19">
        <w:rPr>
          <w:bCs/>
        </w:rPr>
        <w:t xml:space="preserve"> </w:t>
      </w:r>
      <w:r w:rsidR="0008180D" w:rsidRPr="00BF1B19">
        <w:rPr>
          <w:bCs/>
        </w:rPr>
        <w:t>listed</w:t>
      </w:r>
      <w:r w:rsidRPr="00BF1B19">
        <w:rPr>
          <w:bCs/>
        </w:rPr>
        <w:t xml:space="preserve"> on </w:t>
      </w:r>
      <w:r w:rsidR="00E17641" w:rsidRPr="00BF1B19">
        <w:rPr>
          <w:bCs/>
        </w:rPr>
        <w:t xml:space="preserve">global </w:t>
      </w:r>
      <w:r w:rsidRPr="00BF1B19">
        <w:rPr>
          <w:bCs/>
        </w:rPr>
        <w:t>exchanges</w:t>
      </w:r>
      <w:r w:rsidR="005D1D51" w:rsidRPr="00BF1B19">
        <w:rPr>
          <w:bCs/>
        </w:rPr>
        <w:t xml:space="preserve"> (</w:t>
      </w:r>
      <w:bookmarkStart w:id="10" w:name="_Hlk35449170"/>
      <w:r w:rsidR="00A044DD" w:rsidRPr="00BF1B19">
        <w:rPr>
          <w:bCs/>
        </w:rPr>
        <w:t>s</w:t>
      </w:r>
      <w:r w:rsidR="005D1D51" w:rsidRPr="00BF1B19">
        <w:rPr>
          <w:bCs/>
        </w:rPr>
        <w:t>hort dated treasuries, money market instruments</w:t>
      </w:r>
      <w:r w:rsidR="00DB66AB" w:rsidRPr="00BF1B19">
        <w:rPr>
          <w:bCs/>
        </w:rPr>
        <w:t xml:space="preserve"> (money market instruments are typically a diversified portfolio of highly rated, short dated securities and provide a higher degree of credit diversification than holding cash. Example: Treasury bills in four-, 13-, 26- and 52-week maturities</w:t>
      </w:r>
      <w:r w:rsidR="00D61B32" w:rsidRPr="00BF1B19">
        <w:rPr>
          <w:bCs/>
        </w:rPr>
        <w:t>)</w:t>
      </w:r>
      <w:r w:rsidR="005D1D51" w:rsidRPr="00BF1B19">
        <w:rPr>
          <w:bCs/>
        </w:rPr>
        <w:t xml:space="preserve"> and </w:t>
      </w:r>
      <w:bookmarkStart w:id="11" w:name="_Hlk34735229"/>
      <w:r w:rsidR="005D1D51" w:rsidRPr="00BF1B19">
        <w:rPr>
          <w:bCs/>
        </w:rPr>
        <w:t>other cash equivalent securities</w:t>
      </w:r>
      <w:bookmarkEnd w:id="11"/>
      <w:r w:rsidR="00913883" w:rsidRPr="00BF1B19">
        <w:rPr>
          <w:bCs/>
        </w:rPr>
        <w:t xml:space="preserve"> (cash equivalents such as </w:t>
      </w:r>
      <w:proofErr w:type="gramStart"/>
      <w:r w:rsidR="00913883" w:rsidRPr="00BF1B19">
        <w:rPr>
          <w:bCs/>
        </w:rPr>
        <w:t>short term</w:t>
      </w:r>
      <w:proofErr w:type="gramEnd"/>
      <w:r w:rsidR="00913883" w:rsidRPr="00BF1B19">
        <w:rPr>
          <w:bCs/>
        </w:rPr>
        <w:t xml:space="preserve"> treasur</w:t>
      </w:r>
      <w:r w:rsidR="00530F97" w:rsidRPr="00BF1B19">
        <w:rPr>
          <w:bCs/>
        </w:rPr>
        <w:t>i</w:t>
      </w:r>
      <w:r w:rsidR="00913883" w:rsidRPr="00BF1B19">
        <w:rPr>
          <w:bCs/>
        </w:rPr>
        <w:t>es i.e. less than one month durations)</w:t>
      </w:r>
      <w:r w:rsidR="005D1D51" w:rsidRPr="00BF1B19">
        <w:rPr>
          <w:bCs/>
        </w:rPr>
        <w:t>)</w:t>
      </w:r>
      <w:r w:rsidR="00D360CB" w:rsidRPr="00BF1B19">
        <w:rPr>
          <w:bCs/>
        </w:rPr>
        <w:t xml:space="preserve">. </w:t>
      </w:r>
      <w:bookmarkEnd w:id="10"/>
    </w:p>
    <w:p w14:paraId="0B523052" w14:textId="77777777" w:rsidR="003B1A77" w:rsidRPr="00BF1B19" w:rsidRDefault="003B1A77" w:rsidP="005F28D3">
      <w:pPr>
        <w:pStyle w:val="BodyText"/>
        <w:ind w:left="720"/>
        <w:jc w:val="both"/>
        <w:rPr>
          <w:bCs/>
        </w:rPr>
      </w:pPr>
    </w:p>
    <w:p w14:paraId="6B1469AA" w14:textId="726A4651" w:rsidR="00806B54" w:rsidRPr="00BF1B19" w:rsidRDefault="00806B54" w:rsidP="00745689">
      <w:pPr>
        <w:pStyle w:val="BodyText"/>
        <w:ind w:left="720"/>
        <w:jc w:val="both"/>
      </w:pPr>
      <w:r w:rsidRPr="00BF1B19">
        <w:rPr>
          <w:bCs/>
        </w:rPr>
        <w:t>Expected returns are calculated by aggregating different alpha estimations</w:t>
      </w:r>
      <w:r w:rsidR="00A044DD" w:rsidRPr="00BF1B19">
        <w:rPr>
          <w:bCs/>
        </w:rPr>
        <w:t>, alpha estimations are short term profits which the program seeks to exploit from dual listed securities</w:t>
      </w:r>
      <w:r w:rsidRPr="00BF1B19">
        <w:rPr>
          <w:bCs/>
        </w:rPr>
        <w:t xml:space="preserve">.  The </w:t>
      </w:r>
      <w:r w:rsidR="006E7F26" w:rsidRPr="00BF1B19">
        <w:rPr>
          <w:bCs/>
        </w:rPr>
        <w:t>strategy</w:t>
      </w:r>
      <w:r w:rsidRPr="00BF1B19">
        <w:rPr>
          <w:bCs/>
        </w:rPr>
        <w:t xml:space="preserve"> employs </w:t>
      </w:r>
      <w:proofErr w:type="gramStart"/>
      <w:r w:rsidRPr="00BF1B19">
        <w:rPr>
          <w:bCs/>
        </w:rPr>
        <w:t>a number of</w:t>
      </w:r>
      <w:proofErr w:type="gramEnd"/>
      <w:r w:rsidRPr="00BF1B19">
        <w:rPr>
          <w:bCs/>
        </w:rPr>
        <w:t xml:space="preserve"> proprietary</w:t>
      </w:r>
      <w:r w:rsidR="00E87347" w:rsidRPr="00BF1B19">
        <w:rPr>
          <w:bCs/>
        </w:rPr>
        <w:t>,</w:t>
      </w:r>
      <w:r w:rsidRPr="00BF1B19">
        <w:rPr>
          <w:bCs/>
        </w:rPr>
        <w:t xml:space="preserve"> systematic approaches </w:t>
      </w:r>
      <w:r w:rsidR="001F55CA" w:rsidRPr="00BF1B19">
        <w:rPr>
          <w:bCs/>
        </w:rPr>
        <w:t>as specified in paragraph one above under the heading The Program</w:t>
      </w:r>
      <w:r w:rsidR="00675BC8" w:rsidRPr="00BF1B19">
        <w:rPr>
          <w:bCs/>
        </w:rPr>
        <w:t>,</w:t>
      </w:r>
      <w:r w:rsidR="001F55CA" w:rsidRPr="00BF1B19">
        <w:rPr>
          <w:bCs/>
        </w:rPr>
        <w:t xml:space="preserve"> </w:t>
      </w:r>
      <w:r w:rsidRPr="00BF1B19">
        <w:rPr>
          <w:bCs/>
        </w:rPr>
        <w:t xml:space="preserve">to capture arbitrage opportunities when mispricing occurs amongst </w:t>
      </w:r>
      <w:r w:rsidR="000577BA" w:rsidRPr="00BF1B19">
        <w:rPr>
          <w:bCs/>
        </w:rPr>
        <w:t>s</w:t>
      </w:r>
      <w:r w:rsidR="00026A2E" w:rsidRPr="00BF1B19">
        <w:rPr>
          <w:bCs/>
        </w:rPr>
        <w:t>trong</w:t>
      </w:r>
      <w:r w:rsidR="00F33C4E" w:rsidRPr="00BF1B19">
        <w:rPr>
          <w:bCs/>
        </w:rPr>
        <w:t>ly</w:t>
      </w:r>
      <w:r w:rsidR="00026A2E" w:rsidRPr="00BF1B19">
        <w:rPr>
          <w:bCs/>
        </w:rPr>
        <w:t xml:space="preserve"> related</w:t>
      </w:r>
      <w:r w:rsidR="000577BA" w:rsidRPr="00BF1B19">
        <w:rPr>
          <w:bCs/>
        </w:rPr>
        <w:t xml:space="preserve"> securities</w:t>
      </w:r>
      <w:r w:rsidR="00026A2E" w:rsidRPr="00BF1B19">
        <w:rPr>
          <w:bCs/>
        </w:rPr>
        <w:t xml:space="preserve"> listed on the same</w:t>
      </w:r>
      <w:r w:rsidR="00E87347" w:rsidRPr="00BF1B19">
        <w:rPr>
          <w:bCs/>
        </w:rPr>
        <w:t xml:space="preserve"> o</w:t>
      </w:r>
      <w:r w:rsidR="00026A2E" w:rsidRPr="00BF1B19">
        <w:rPr>
          <w:bCs/>
        </w:rPr>
        <w:t>r</w:t>
      </w:r>
      <w:r w:rsidR="00E87347" w:rsidRPr="00BF1B19">
        <w:rPr>
          <w:bCs/>
        </w:rPr>
        <w:t xml:space="preserve"> different exchanges</w:t>
      </w:r>
      <w:r w:rsidR="002078E9" w:rsidRPr="00BF1B19">
        <w:rPr>
          <w:bCs/>
        </w:rPr>
        <w:t>. In</w:t>
      </w:r>
      <w:r w:rsidR="003261E4" w:rsidRPr="00BF1B19">
        <w:rPr>
          <w:bCs/>
        </w:rPr>
        <w:t xml:space="preserve"> </w:t>
      </w:r>
      <w:r w:rsidR="002078E9" w:rsidRPr="00BF1B19">
        <w:rPr>
          <w:bCs/>
        </w:rPr>
        <w:t>addition</w:t>
      </w:r>
      <w:r w:rsidR="003261E4" w:rsidRPr="00BF1B19">
        <w:rPr>
          <w:bCs/>
        </w:rPr>
        <w:t>,</w:t>
      </w:r>
      <w:r w:rsidR="002078E9" w:rsidRPr="00BF1B19">
        <w:rPr>
          <w:bCs/>
        </w:rPr>
        <w:t xml:space="preserve"> the </w:t>
      </w:r>
      <w:r w:rsidR="007D56A1" w:rsidRPr="00BF1B19">
        <w:rPr>
          <w:bCs/>
        </w:rPr>
        <w:t>S</w:t>
      </w:r>
      <w:r w:rsidR="00F7667E" w:rsidRPr="00BF1B19">
        <w:rPr>
          <w:bCs/>
        </w:rPr>
        <w:t>ub-</w:t>
      </w:r>
      <w:r w:rsidR="007D56A1" w:rsidRPr="00BF1B19">
        <w:rPr>
          <w:bCs/>
        </w:rPr>
        <w:t>I</w:t>
      </w:r>
      <w:r w:rsidR="00F7667E" w:rsidRPr="00BF1B19">
        <w:rPr>
          <w:bCs/>
        </w:rPr>
        <w:t xml:space="preserve">nvestment </w:t>
      </w:r>
      <w:r w:rsidR="007D56A1" w:rsidRPr="00BF1B19">
        <w:rPr>
          <w:bCs/>
        </w:rPr>
        <w:t>M</w:t>
      </w:r>
      <w:r w:rsidR="00F7667E" w:rsidRPr="00BF1B19">
        <w:rPr>
          <w:bCs/>
        </w:rPr>
        <w:t>anager’s</w:t>
      </w:r>
      <w:r w:rsidR="002078E9" w:rsidRPr="00BF1B19">
        <w:rPr>
          <w:bCs/>
        </w:rPr>
        <w:t xml:space="preserve"> dept</w:t>
      </w:r>
      <w:r w:rsidR="00D9002A" w:rsidRPr="00BF1B19">
        <w:rPr>
          <w:bCs/>
        </w:rPr>
        <w:t>h</w:t>
      </w:r>
      <w:r w:rsidR="002078E9" w:rsidRPr="00BF1B19">
        <w:rPr>
          <w:bCs/>
        </w:rPr>
        <w:t xml:space="preserve"> of </w:t>
      </w:r>
      <w:r w:rsidR="00E87347" w:rsidRPr="00BF1B19">
        <w:rPr>
          <w:bCs/>
        </w:rPr>
        <w:t>knowledge</w:t>
      </w:r>
      <w:r w:rsidR="00E7768E" w:rsidRPr="00BF1B19">
        <w:rPr>
          <w:bCs/>
        </w:rPr>
        <w:t xml:space="preserve"> </w:t>
      </w:r>
      <w:r w:rsidR="001A49D4" w:rsidRPr="00BF1B19">
        <w:rPr>
          <w:bCs/>
        </w:rPr>
        <w:t>(</w:t>
      </w:r>
      <w:r w:rsidR="00E7768E" w:rsidRPr="00BF1B19">
        <w:rPr>
          <w:bCs/>
        </w:rPr>
        <w:t xml:space="preserve">having obtained 13 years in the </w:t>
      </w:r>
      <w:r w:rsidR="001A49D4" w:rsidRPr="00BF1B19">
        <w:rPr>
          <w:bCs/>
        </w:rPr>
        <w:t>a</w:t>
      </w:r>
      <w:r w:rsidR="00E7768E" w:rsidRPr="00BF1B19">
        <w:rPr>
          <w:bCs/>
        </w:rPr>
        <w:t xml:space="preserve">sset </w:t>
      </w:r>
      <w:r w:rsidR="001A49D4" w:rsidRPr="00BF1B19">
        <w:rPr>
          <w:bCs/>
        </w:rPr>
        <w:t>m</w:t>
      </w:r>
      <w:r w:rsidR="00E7768E" w:rsidRPr="00BF1B19">
        <w:rPr>
          <w:bCs/>
        </w:rPr>
        <w:t>anagement industry</w:t>
      </w:r>
      <w:r w:rsidR="001A49D4" w:rsidRPr="00BF1B19">
        <w:rPr>
          <w:bCs/>
        </w:rPr>
        <w:t>)</w:t>
      </w:r>
      <w:r w:rsidR="002078E9" w:rsidRPr="00BF1B19">
        <w:rPr>
          <w:bCs/>
        </w:rPr>
        <w:t xml:space="preserve"> </w:t>
      </w:r>
      <w:r w:rsidR="00D9002A" w:rsidRPr="00BF1B19">
        <w:rPr>
          <w:bCs/>
        </w:rPr>
        <w:t>seeks to take</w:t>
      </w:r>
      <w:r w:rsidRPr="00BF1B19">
        <w:rPr>
          <w:bCs/>
        </w:rPr>
        <w:t xml:space="preserve"> advantage of industry insights to identify the discrepancies in the relative valuation of securities in the same sector in the same or different countries that offer attractive investment opportunities.</w:t>
      </w:r>
      <w:r w:rsidR="000A4B5B" w:rsidRPr="00BF1B19">
        <w:rPr>
          <w:bCs/>
        </w:rPr>
        <w:t xml:space="preserve"> </w:t>
      </w:r>
      <w:bookmarkStart w:id="12" w:name="_Hlk32852297"/>
      <w:r w:rsidR="00D9002A" w:rsidRPr="00BF1B19">
        <w:rPr>
          <w:bCs/>
        </w:rPr>
        <w:t>These arbitrage opportunities often exhibit p</w:t>
      </w:r>
      <w:r w:rsidRPr="00BF1B19">
        <w:rPr>
          <w:bCs/>
        </w:rPr>
        <w:t xml:space="preserve">articularly large valuations discrepancies </w:t>
      </w:r>
      <w:r w:rsidR="00D9002A" w:rsidRPr="00BF1B19">
        <w:rPr>
          <w:bCs/>
        </w:rPr>
        <w:t>between</w:t>
      </w:r>
      <w:r w:rsidRPr="00BF1B19">
        <w:rPr>
          <w:bCs/>
        </w:rPr>
        <w:t xml:space="preserve"> securities in the same sector</w:t>
      </w:r>
      <w:r w:rsidR="00E87347" w:rsidRPr="00BF1B19">
        <w:rPr>
          <w:bCs/>
        </w:rPr>
        <w:t xml:space="preserve"> but</w:t>
      </w:r>
      <w:r w:rsidRPr="00BF1B19">
        <w:rPr>
          <w:bCs/>
        </w:rPr>
        <w:t xml:space="preserve"> trad</w:t>
      </w:r>
      <w:r w:rsidR="00E87347" w:rsidRPr="00BF1B19">
        <w:rPr>
          <w:bCs/>
        </w:rPr>
        <w:t>e</w:t>
      </w:r>
      <w:r w:rsidR="002F4C64" w:rsidRPr="00BF1B19">
        <w:rPr>
          <w:bCs/>
        </w:rPr>
        <w:t xml:space="preserve">d on different exchanges. </w:t>
      </w:r>
      <w:r w:rsidR="00101585" w:rsidRPr="00BF1B19">
        <w:rPr>
          <w:bCs/>
        </w:rPr>
        <w:t xml:space="preserve">The large valuation discrepancies are mainly </w:t>
      </w:r>
      <w:proofErr w:type="gramStart"/>
      <w:r w:rsidR="00101585" w:rsidRPr="00BF1B19">
        <w:rPr>
          <w:bCs/>
        </w:rPr>
        <w:t>due to the fact that</w:t>
      </w:r>
      <w:proofErr w:type="gramEnd"/>
      <w:r w:rsidR="00101585" w:rsidRPr="00BF1B19">
        <w:rPr>
          <w:bCs/>
        </w:rPr>
        <w:t xml:space="preserve"> local (especially inside China) retail investors’ risk appetite and trading frequency can be very different from western institutional investors. When the same securities are listed on two different markets with very different investor behaviours, they can end up with a particularly large valuation gap. Other factors like currency and time zone can also cause price differences</w:t>
      </w:r>
      <w:r w:rsidR="00101585" w:rsidRPr="00BF1B19">
        <w:t>.</w:t>
      </w:r>
    </w:p>
    <w:bookmarkEnd w:id="12"/>
    <w:p w14:paraId="0926A196" w14:textId="77777777" w:rsidR="00424F46" w:rsidRPr="00BF1B19" w:rsidRDefault="00424F46" w:rsidP="005F28D3">
      <w:pPr>
        <w:pStyle w:val="BodyText"/>
        <w:ind w:left="720"/>
      </w:pPr>
    </w:p>
    <w:p w14:paraId="2A11B0AA" w14:textId="77777777" w:rsidR="00424F46" w:rsidRPr="00BF1B19" w:rsidRDefault="00453715" w:rsidP="00745689">
      <w:pPr>
        <w:keepNext/>
        <w:spacing w:after="240"/>
        <w:ind w:left="720"/>
        <w:rPr>
          <w:b/>
        </w:rPr>
      </w:pPr>
      <w:r w:rsidRPr="00BF1B19">
        <w:rPr>
          <w:b/>
        </w:rPr>
        <w:t>Trading Risk Parameters</w:t>
      </w:r>
    </w:p>
    <w:p w14:paraId="4103C4B6" w14:textId="77777777" w:rsidR="00183B34" w:rsidRPr="00BF1B19" w:rsidRDefault="008611C2" w:rsidP="00745689">
      <w:pPr>
        <w:pStyle w:val="BodyText"/>
        <w:ind w:left="720"/>
        <w:jc w:val="both"/>
        <w:rPr>
          <w:bCs/>
          <w:szCs w:val="22"/>
        </w:rPr>
      </w:pPr>
      <w:r w:rsidRPr="00BF1B19">
        <w:rPr>
          <w:bCs/>
        </w:rPr>
        <w:t xml:space="preserve">The program </w:t>
      </w:r>
      <w:r w:rsidR="00293A3A" w:rsidRPr="00BF1B19">
        <w:rPr>
          <w:bCs/>
        </w:rPr>
        <w:t>manages</w:t>
      </w:r>
      <w:r w:rsidR="00293A3A" w:rsidRPr="00BF1B19">
        <w:rPr>
          <w:bCs/>
          <w:szCs w:val="22"/>
        </w:rPr>
        <w:t xml:space="preserve"> its investment risks via various</w:t>
      </w:r>
      <w:r w:rsidR="0087561A" w:rsidRPr="00BF1B19">
        <w:rPr>
          <w:bCs/>
          <w:szCs w:val="22"/>
        </w:rPr>
        <w:t xml:space="preserve"> mechanism and</w:t>
      </w:r>
      <w:r w:rsidR="00293A3A" w:rsidRPr="00BF1B19">
        <w:rPr>
          <w:bCs/>
          <w:szCs w:val="22"/>
        </w:rPr>
        <w:t xml:space="preserve"> controls, including position limit, leverage limit, se</w:t>
      </w:r>
      <w:r w:rsidR="00FE7FB7" w:rsidRPr="00BF1B19">
        <w:rPr>
          <w:bCs/>
          <w:szCs w:val="22"/>
        </w:rPr>
        <w:t>ctor limit and Value at Risk (</w:t>
      </w:r>
      <w:proofErr w:type="spellStart"/>
      <w:r w:rsidR="00FE7FB7" w:rsidRPr="00BF1B19">
        <w:rPr>
          <w:bCs/>
          <w:szCs w:val="22"/>
        </w:rPr>
        <w:t>VaR</w:t>
      </w:r>
      <w:proofErr w:type="spellEnd"/>
      <w:r w:rsidR="00FE7FB7" w:rsidRPr="00BF1B19">
        <w:rPr>
          <w:bCs/>
          <w:szCs w:val="22"/>
        </w:rPr>
        <w:t xml:space="preserve">) </w:t>
      </w:r>
      <w:r w:rsidR="00293A3A" w:rsidRPr="00BF1B19">
        <w:rPr>
          <w:bCs/>
          <w:szCs w:val="22"/>
        </w:rPr>
        <w:t>limits</w:t>
      </w:r>
      <w:r w:rsidR="00FE7FB7" w:rsidRPr="00BF1B19">
        <w:rPr>
          <w:bCs/>
          <w:szCs w:val="22"/>
        </w:rPr>
        <w:t xml:space="preserve">. The </w:t>
      </w:r>
      <w:r w:rsidR="007D56A1" w:rsidRPr="00BF1B19">
        <w:rPr>
          <w:bCs/>
          <w:szCs w:val="22"/>
        </w:rPr>
        <w:t xml:space="preserve">Sub-Investment </w:t>
      </w:r>
      <w:r w:rsidR="00FE7FB7" w:rsidRPr="00BF1B19">
        <w:rPr>
          <w:bCs/>
          <w:szCs w:val="22"/>
        </w:rPr>
        <w:t xml:space="preserve">Manager reviews the strategy and risk limits </w:t>
      </w:r>
      <w:proofErr w:type="gramStart"/>
      <w:r w:rsidR="00FE7FB7" w:rsidRPr="00BF1B19">
        <w:rPr>
          <w:bCs/>
          <w:szCs w:val="22"/>
        </w:rPr>
        <w:t>on a monthly basis</w:t>
      </w:r>
      <w:proofErr w:type="gramEnd"/>
      <w:r w:rsidR="00FE7FB7" w:rsidRPr="00BF1B19">
        <w:rPr>
          <w:bCs/>
          <w:szCs w:val="22"/>
        </w:rPr>
        <w:t xml:space="preserve"> and update those limits and procedure accordingly. </w:t>
      </w:r>
      <w:r w:rsidR="00951DF1" w:rsidRPr="00BF1B19">
        <w:rPr>
          <w:bCs/>
          <w:szCs w:val="22"/>
        </w:rPr>
        <w:t xml:space="preserve">The Fund will typically invest in a range of assets and strategies to diversify risk and optimize opportunity. It is not expected that the Fund’s gross level of leverage will exceed </w:t>
      </w:r>
      <w:r w:rsidR="000B61FB" w:rsidRPr="00BF1B19">
        <w:rPr>
          <w:bCs/>
          <w:szCs w:val="22"/>
        </w:rPr>
        <w:t>4</w:t>
      </w:r>
      <w:r w:rsidR="00951DF1" w:rsidRPr="00BF1B19">
        <w:rPr>
          <w:bCs/>
          <w:szCs w:val="22"/>
        </w:rPr>
        <w:t>00% of the Fund’s NAV</w:t>
      </w:r>
      <w:r w:rsidR="00183B34" w:rsidRPr="00BF1B19">
        <w:rPr>
          <w:bCs/>
          <w:szCs w:val="22"/>
        </w:rPr>
        <w:t>.</w:t>
      </w:r>
    </w:p>
    <w:p w14:paraId="3975772E" w14:textId="765697BB" w:rsidR="00995B2E" w:rsidRPr="00BF1B19" w:rsidRDefault="00995B2E" w:rsidP="00745689">
      <w:pPr>
        <w:ind w:left="720"/>
        <w:jc w:val="both"/>
        <w:rPr>
          <w:bCs/>
        </w:rPr>
      </w:pPr>
    </w:p>
    <w:p w14:paraId="3C0DE4C5" w14:textId="3C65F9C0" w:rsidR="006B38C4" w:rsidRPr="00BF1B19" w:rsidRDefault="006B38C4" w:rsidP="005F28D3">
      <w:pPr>
        <w:pStyle w:val="BodyText"/>
        <w:ind w:firstLine="720"/>
        <w:jc w:val="both"/>
        <w:rPr>
          <w:b/>
          <w:color w:val="000000"/>
        </w:rPr>
      </w:pPr>
      <w:r w:rsidRPr="00BF1B19">
        <w:rPr>
          <w:b/>
          <w:color w:val="000000"/>
        </w:rPr>
        <w:t>Sustainable Finance Disclosure Regulation</w:t>
      </w:r>
    </w:p>
    <w:p w14:paraId="7C0E325A" w14:textId="77777777" w:rsidR="006B38C4" w:rsidRPr="00BF1B19" w:rsidRDefault="006B38C4" w:rsidP="005F28D3">
      <w:pPr>
        <w:pStyle w:val="BodyText"/>
        <w:ind w:left="828"/>
        <w:jc w:val="both"/>
        <w:rPr>
          <w:color w:val="000000"/>
        </w:rPr>
      </w:pPr>
    </w:p>
    <w:p w14:paraId="7307CC61" w14:textId="299FB57B" w:rsidR="006B38C4" w:rsidRPr="00BF1B19" w:rsidRDefault="00EB23EA" w:rsidP="00745689">
      <w:pPr>
        <w:ind w:left="720"/>
        <w:jc w:val="both"/>
      </w:pPr>
      <w:r w:rsidRPr="00BF1B19">
        <w:t xml:space="preserve">The Fund </w:t>
      </w:r>
      <w:proofErr w:type="gramStart"/>
      <w:r w:rsidRPr="00BF1B19">
        <w:t xml:space="preserve">is </w:t>
      </w:r>
      <w:r w:rsidR="00DA2A7C" w:rsidRPr="00BF1B19">
        <w:t>in compliance with</w:t>
      </w:r>
      <w:proofErr w:type="gramEnd"/>
      <w:r w:rsidR="00DA2A7C" w:rsidRPr="00BF1B19">
        <w:t xml:space="preserve"> the provisions of</w:t>
      </w:r>
      <w:r w:rsidRPr="00BF1B19">
        <w:t xml:space="preserve"> Article 6 of the </w:t>
      </w:r>
      <w:r w:rsidR="00DA2A7C" w:rsidRPr="00BF1B19">
        <w:t>Regulation (EU) 2019/2088 of the European Parliament and of the Council of 27 November 2019 on sustainability-related disclosures in the financial services sector</w:t>
      </w:r>
      <w:r w:rsidR="003D402C" w:rsidRPr="00BF1B19">
        <w:t xml:space="preserve"> (“</w:t>
      </w:r>
      <w:r w:rsidR="003D402C" w:rsidRPr="00BF1B19">
        <w:rPr>
          <w:b/>
        </w:rPr>
        <w:t>SFDR</w:t>
      </w:r>
      <w:r w:rsidR="003D402C" w:rsidRPr="00BF1B19">
        <w:t>”)</w:t>
      </w:r>
      <w:r w:rsidRPr="00BF1B19">
        <w:t xml:space="preserve">. </w:t>
      </w:r>
      <w:r w:rsidR="006B38C4" w:rsidRPr="00BF1B19">
        <w:t xml:space="preserve">The </w:t>
      </w:r>
      <w:r w:rsidRPr="00BF1B19">
        <w:t>Sub-</w:t>
      </w:r>
      <w:r w:rsidR="006B38C4" w:rsidRPr="00BF1B19">
        <w:t>Investment Manager has a risk management process that identifies events and conditions that could cause a material negative impact on the v</w:t>
      </w:r>
      <w:r w:rsidR="00D8760C" w:rsidRPr="00BF1B19">
        <w:t xml:space="preserve">alue of the Fund’s investments. </w:t>
      </w:r>
      <w:r w:rsidR="006B38C4" w:rsidRPr="00BF1B19">
        <w:t xml:space="preserve"> </w:t>
      </w:r>
      <w:r w:rsidRPr="00BF1B19">
        <w:t xml:space="preserve">The Sub-Investment Manager’s </w:t>
      </w:r>
      <w:r w:rsidR="006B38C4" w:rsidRPr="00BF1B19">
        <w:t>investment management approach takes account of identified risks and seeks</w:t>
      </w:r>
      <w:r w:rsidR="00D8760C" w:rsidRPr="00BF1B19">
        <w:t xml:space="preserve"> to minimise and mitigate them. </w:t>
      </w:r>
      <w:r w:rsidR="006B38C4" w:rsidRPr="00BF1B19">
        <w:t xml:space="preserve"> This may include the identification and manag</w:t>
      </w:r>
      <w:r w:rsidR="00D8760C" w:rsidRPr="00BF1B19">
        <w:t xml:space="preserve">ement of sustainability risks.  </w:t>
      </w:r>
      <w:r w:rsidR="006B38C4" w:rsidRPr="00BF1B19">
        <w:t xml:space="preserve">However, </w:t>
      </w:r>
      <w:r w:rsidR="003749D6" w:rsidRPr="00BF1B19">
        <w:t xml:space="preserve">given the investment strategy of the Fund is to extract profits from short term pricing differences that manifest on dual listed or related securities on different exchanges, sustainability risks are not </w:t>
      </w:r>
      <w:r w:rsidR="00295B93" w:rsidRPr="00BF1B19">
        <w:t>materially</w:t>
      </w:r>
      <w:r w:rsidR="003749D6" w:rsidRPr="00BF1B19">
        <w:t xml:space="preserve"> relevant to the Fund. Therefore, </w:t>
      </w:r>
      <w:proofErr w:type="gramStart"/>
      <w:r w:rsidR="006B38C4" w:rsidRPr="00BF1B19">
        <w:t>at this time</w:t>
      </w:r>
      <w:proofErr w:type="gramEnd"/>
      <w:r w:rsidR="006B38C4" w:rsidRPr="00BF1B19">
        <w:t xml:space="preserve">, </w:t>
      </w:r>
      <w:r w:rsidR="001F4A15" w:rsidRPr="00BF1B19">
        <w:t xml:space="preserve">the Sub-Investment Manager’s </w:t>
      </w:r>
      <w:r w:rsidR="006B38C4" w:rsidRPr="00BF1B19">
        <w:t>risk management process does not formally and explicitly integrate sustainability risk management.</w:t>
      </w:r>
      <w:r w:rsidR="003749D6" w:rsidRPr="00BF1B19">
        <w:t xml:space="preserve"> </w:t>
      </w:r>
      <w:r w:rsidR="00295B93" w:rsidRPr="00BF1B19">
        <w:t>The Sub-Investment Manager has assessed the likely impact of sustainability risks on the Fund and does not believe that sustainability risks will have a significant impact on the returns of the Fund.</w:t>
      </w:r>
    </w:p>
    <w:p w14:paraId="70F22832" w14:textId="03702CEE" w:rsidR="003D402C" w:rsidRPr="00BF1B19" w:rsidRDefault="003D402C" w:rsidP="00745689">
      <w:pPr>
        <w:ind w:left="720"/>
        <w:jc w:val="both"/>
      </w:pPr>
    </w:p>
    <w:p w14:paraId="01785A2A" w14:textId="39727028" w:rsidR="003D402C" w:rsidRPr="00BF1B19" w:rsidRDefault="003D402C" w:rsidP="00745689">
      <w:pPr>
        <w:ind w:left="720"/>
        <w:jc w:val="both"/>
      </w:pPr>
      <w:r w:rsidRPr="00BF1B19">
        <w:t>In addition to the matters set out above, the provisions of SFDR, as amended by Regulation (EU) 2020/852 on the Establishment of a Framework to Facilitate Sustainable Investment (the “</w:t>
      </w:r>
      <w:r w:rsidRPr="00BF1B19">
        <w:rPr>
          <w:b/>
        </w:rPr>
        <w:t>Taxonomy Regulation</w:t>
      </w:r>
      <w:r w:rsidRPr="00BF1B19">
        <w:t xml:space="preserve">”), introduce a requirement to disclose whether and, if so, to what extent the Fund's investments are aligned with the Taxonomy Regulation. Accordingly, at the date of this Supplement, the investments underlying the Fund do not </w:t>
      </w:r>
      <w:proofErr w:type="gramStart"/>
      <w:r w:rsidRPr="00BF1B19">
        <w:t>take into account</w:t>
      </w:r>
      <w:proofErr w:type="gramEnd"/>
      <w:r w:rsidRPr="00BF1B19">
        <w:t xml:space="preserve"> the EU criteria for environmentally sustainable economic activities.</w:t>
      </w:r>
    </w:p>
    <w:p w14:paraId="4E2D5475" w14:textId="77777777" w:rsidR="006B38C4" w:rsidRPr="00BF1B19" w:rsidRDefault="006B38C4" w:rsidP="00745689">
      <w:pPr>
        <w:ind w:left="720"/>
        <w:jc w:val="both"/>
        <w:rPr>
          <w:bCs/>
        </w:rPr>
      </w:pPr>
    </w:p>
    <w:p w14:paraId="1F7A2613" w14:textId="7370623B" w:rsidR="00424F46" w:rsidRPr="00BF1B19" w:rsidRDefault="00453715" w:rsidP="00745689">
      <w:pPr>
        <w:keepNext/>
        <w:spacing w:after="240"/>
        <w:ind w:left="720"/>
        <w:rPr>
          <w:b/>
        </w:rPr>
      </w:pPr>
      <w:r w:rsidRPr="00BF1B19">
        <w:rPr>
          <w:b/>
        </w:rPr>
        <w:t>Base Currency</w:t>
      </w:r>
    </w:p>
    <w:p w14:paraId="0286D2FA" w14:textId="77777777" w:rsidR="00424F46" w:rsidRPr="00BF1B19" w:rsidRDefault="00453715" w:rsidP="00745689">
      <w:pPr>
        <w:pStyle w:val="BodyText"/>
        <w:ind w:left="720"/>
        <w:jc w:val="both"/>
      </w:pPr>
      <w:r w:rsidRPr="00BF1B19">
        <w:t>The Base Currency of the Fund is US dollars.</w:t>
      </w:r>
    </w:p>
    <w:p w14:paraId="09586F0E" w14:textId="77777777" w:rsidR="00424F46" w:rsidRPr="00BF1B19" w:rsidRDefault="00424F46" w:rsidP="005F28D3">
      <w:pPr>
        <w:pStyle w:val="BodyText"/>
        <w:ind w:left="720"/>
      </w:pPr>
    </w:p>
    <w:p w14:paraId="13971B32" w14:textId="44955E2B" w:rsidR="00424F46" w:rsidRPr="00BF1B19" w:rsidRDefault="00453715" w:rsidP="00745689">
      <w:pPr>
        <w:keepNext/>
        <w:spacing w:after="240"/>
        <w:ind w:left="720"/>
        <w:jc w:val="both"/>
      </w:pPr>
      <w:r w:rsidRPr="00BF1B19">
        <w:rPr>
          <w:i/>
        </w:rPr>
        <w:lastRenderedPageBreak/>
        <w:t>Cash Management</w:t>
      </w:r>
    </w:p>
    <w:p w14:paraId="26FB0F37" w14:textId="314A7EA6" w:rsidR="00951DF1" w:rsidRPr="00BF1B19" w:rsidRDefault="00453715" w:rsidP="005F28D3">
      <w:pPr>
        <w:ind w:left="720"/>
        <w:jc w:val="both"/>
        <w:rPr>
          <w:b/>
          <w:color w:val="0D0D0D"/>
        </w:rPr>
      </w:pPr>
      <w:r w:rsidRPr="00BF1B19">
        <w:rPr>
          <w:bCs/>
        </w:rPr>
        <w:t xml:space="preserve">The Fund may </w:t>
      </w:r>
      <w:bookmarkStart w:id="13" w:name="_Hlk32845177"/>
      <w:r w:rsidRPr="00BF1B19">
        <w:rPr>
          <w:bCs/>
        </w:rPr>
        <w:t>invest up to 100% of the Fund's Net Asset Value in cash</w:t>
      </w:r>
      <w:bookmarkEnd w:id="13"/>
      <w:r w:rsidRPr="00BF1B19">
        <w:rPr>
          <w:bCs/>
        </w:rPr>
        <w:t>, cash equivalents (including, but not limited to, cash deposits, commercial paper and certificates of deposit), money market funds (limited to 10% in aggregate of the Net Asset Value of the Fund) and money market instruments (including but not limited to short term commercial paper, floating rate notes, medium term notes or securities issued or guaranteed by any OECD government, its agencies or instrumentalities or by any supra-national entity with an investment grade rating as rated by a Recognised Rating Agency</w:t>
      </w:r>
      <w:r w:rsidR="00597D13" w:rsidRPr="00BF1B19">
        <w:rPr>
          <w:bCs/>
        </w:rPr>
        <w:t>)</w:t>
      </w:r>
      <w:r w:rsidR="00DE04B4" w:rsidRPr="00BF1B19">
        <w:rPr>
          <w:bCs/>
        </w:rPr>
        <w:t xml:space="preserve">. </w:t>
      </w:r>
      <w:r w:rsidR="00FC0346" w:rsidRPr="00BF1B19">
        <w:rPr>
          <w:bCs/>
        </w:rPr>
        <w:t xml:space="preserve">The Fund should only invest up to 100% of the Fund's Net Asset Value in cash </w:t>
      </w:r>
      <w:r w:rsidR="00DE04B4" w:rsidRPr="00BF1B19">
        <w:rPr>
          <w:bCs/>
        </w:rPr>
        <w:t>in</w:t>
      </w:r>
      <w:r w:rsidR="00FC0346" w:rsidRPr="00BF1B19">
        <w:rPr>
          <w:bCs/>
        </w:rPr>
        <w:t xml:space="preserve"> extreme </w:t>
      </w:r>
      <w:r w:rsidR="00DE04B4" w:rsidRPr="00BF1B19">
        <w:rPr>
          <w:bCs/>
        </w:rPr>
        <w:t>market conditions</w:t>
      </w:r>
      <w:r w:rsidR="000A4B5B" w:rsidRPr="00BF1B19">
        <w:rPr>
          <w:bCs/>
        </w:rPr>
        <w:t xml:space="preserve"> (such as the large drop in global stock markets in February 2020 arising as a result of the global spread of </w:t>
      </w:r>
      <w:r w:rsidR="007906CD" w:rsidRPr="00BF1B19">
        <w:rPr>
          <w:bCs/>
        </w:rPr>
        <w:t>COVID-19</w:t>
      </w:r>
      <w:r w:rsidR="000A4B5B" w:rsidRPr="00BF1B19">
        <w:rPr>
          <w:bCs/>
        </w:rPr>
        <w:t>)</w:t>
      </w:r>
      <w:r w:rsidR="00DE04B4" w:rsidRPr="00BF1B19">
        <w:rPr>
          <w:bCs/>
        </w:rPr>
        <w:t xml:space="preserve"> </w:t>
      </w:r>
      <w:r w:rsidR="00FC0346" w:rsidRPr="00BF1B19">
        <w:rPr>
          <w:bCs/>
        </w:rPr>
        <w:t xml:space="preserve">when the market (including the broker-related) risks associated with the trading opportunities of the Program are so severe that the </w:t>
      </w:r>
      <w:r w:rsidR="00EC6BCC" w:rsidRPr="00BF1B19">
        <w:rPr>
          <w:bCs/>
        </w:rPr>
        <w:t>P</w:t>
      </w:r>
      <w:r w:rsidR="00FC0346" w:rsidRPr="00BF1B19">
        <w:rPr>
          <w:bCs/>
        </w:rPr>
        <w:t>rogram decides to keep all its asset in cash / near cash instruments to ensure</w:t>
      </w:r>
      <w:r w:rsidR="00DE04B4" w:rsidRPr="00BF1B19">
        <w:rPr>
          <w:bCs/>
        </w:rPr>
        <w:t xml:space="preserve"> compliance with the </w:t>
      </w:r>
      <w:proofErr w:type="spellStart"/>
      <w:r w:rsidR="00FC0346" w:rsidRPr="00BF1B19">
        <w:rPr>
          <w:bCs/>
        </w:rPr>
        <w:t>UCITs</w:t>
      </w:r>
      <w:proofErr w:type="spellEnd"/>
      <w:r w:rsidR="00FC0346" w:rsidRPr="00BF1B19">
        <w:rPr>
          <w:bCs/>
        </w:rPr>
        <w:t xml:space="preserve"> </w:t>
      </w:r>
      <w:r w:rsidR="00DE04B4" w:rsidRPr="00BF1B19">
        <w:rPr>
          <w:bCs/>
        </w:rPr>
        <w:t>Regulations</w:t>
      </w:r>
      <w:r w:rsidR="00FC0346" w:rsidRPr="00BF1B19">
        <w:rPr>
          <w:bCs/>
        </w:rPr>
        <w:t xml:space="preserve">. </w:t>
      </w:r>
      <w:r w:rsidR="00951DF1" w:rsidRPr="00BF1B19">
        <w:rPr>
          <w:b/>
        </w:rPr>
        <w:t xml:space="preserve">Investors’ attention is drawn to the inherent difference between the Fund’s investment in deposits and investors’ investment in the Fund. </w:t>
      </w:r>
      <w:proofErr w:type="gramStart"/>
      <w:r w:rsidR="00951DF1" w:rsidRPr="00BF1B19">
        <w:rPr>
          <w:b/>
        </w:rPr>
        <w:t>In particular, investors</w:t>
      </w:r>
      <w:proofErr w:type="gramEnd"/>
      <w:r w:rsidR="00951DF1" w:rsidRPr="00BF1B19">
        <w:rPr>
          <w:b/>
        </w:rPr>
        <w:t xml:space="preserve"> should note that where the Fund invests in deposits, the value of Shareholders’ principal invested in the Fund may fluctuate.</w:t>
      </w:r>
    </w:p>
    <w:p w14:paraId="08837C1A" w14:textId="77777777" w:rsidR="00424F46" w:rsidRPr="00BF1B19" w:rsidRDefault="00424F46" w:rsidP="005F28D3">
      <w:pPr>
        <w:pStyle w:val="BodyText"/>
        <w:ind w:left="720"/>
        <w:jc w:val="both"/>
      </w:pPr>
    </w:p>
    <w:p w14:paraId="2A3B4E3E" w14:textId="77777777" w:rsidR="00424F46" w:rsidRPr="00BF1B19" w:rsidRDefault="00453715" w:rsidP="00745689">
      <w:pPr>
        <w:keepNext/>
        <w:spacing w:after="240"/>
        <w:ind w:left="720"/>
        <w:jc w:val="both"/>
        <w:rPr>
          <w:i/>
        </w:rPr>
      </w:pPr>
      <w:r w:rsidRPr="00BF1B19">
        <w:rPr>
          <w:i/>
        </w:rPr>
        <w:t>Financial Derivative Instruments</w:t>
      </w:r>
    </w:p>
    <w:p w14:paraId="5D5F4212" w14:textId="04395017" w:rsidR="00424F46" w:rsidRPr="00BF1B19" w:rsidRDefault="00453715" w:rsidP="005F28D3">
      <w:pPr>
        <w:ind w:left="720"/>
        <w:jc w:val="both"/>
      </w:pPr>
      <w:r w:rsidRPr="00BF1B19">
        <w:t xml:space="preserve">In addition to use in pursuit of the Fund’s investment objective, the Fund may use </w:t>
      </w:r>
      <w:proofErr w:type="spellStart"/>
      <w:r w:rsidRPr="00BF1B19">
        <w:t>FDI</w:t>
      </w:r>
      <w:proofErr w:type="spellEnd"/>
      <w:r w:rsidRPr="00BF1B19">
        <w:t xml:space="preserve"> as permitted under the Prospectus and this Supplement for efficient portfolio management purposes where use of derivatives is considered a cheaper, more efficient or risk effective method to gain exposure to certain asset classes</w:t>
      </w:r>
      <w:r w:rsidR="00D24D42" w:rsidRPr="00BF1B19">
        <w:t xml:space="preserve">, for investment purposes </w:t>
      </w:r>
      <w:r w:rsidRPr="00BF1B19">
        <w:t>and for hedging purposes as described in section 2 of this Supplement below and in the</w:t>
      </w:r>
      <w:r w:rsidR="00B97564" w:rsidRPr="00BF1B19">
        <w:t xml:space="preserve"> section </w:t>
      </w:r>
      <w:r w:rsidR="00D60CE2" w:rsidRPr="00BF1B19">
        <w:t>entitled</w:t>
      </w:r>
      <w:r w:rsidRPr="00BF1B19">
        <w:t xml:space="preserve"> </w:t>
      </w:r>
      <w:r w:rsidR="00B97564" w:rsidRPr="00BF1B19">
        <w:t>“</w:t>
      </w:r>
      <w:r w:rsidRPr="00BF1B19">
        <w:t xml:space="preserve">Utilisation of </w:t>
      </w:r>
      <w:proofErr w:type="spellStart"/>
      <w:r w:rsidRPr="00BF1B19">
        <w:t>FDI</w:t>
      </w:r>
      <w:proofErr w:type="spellEnd"/>
      <w:r w:rsidRPr="00BF1B19">
        <w:t xml:space="preserve"> and Efficient Portfolio Management</w:t>
      </w:r>
      <w:r w:rsidR="00B97564" w:rsidRPr="00BF1B19">
        <w:t>”</w:t>
      </w:r>
      <w:r w:rsidRPr="00BF1B19">
        <w:rPr>
          <w:b/>
        </w:rPr>
        <w:t xml:space="preserve"> </w:t>
      </w:r>
      <w:r w:rsidRPr="00BF1B19">
        <w:t>in the Prospectus.</w:t>
      </w:r>
    </w:p>
    <w:p w14:paraId="2A768B40" w14:textId="77777777" w:rsidR="00424F46" w:rsidRPr="00BF1B19" w:rsidRDefault="00424F46" w:rsidP="00745689">
      <w:pPr>
        <w:pStyle w:val="BodyText"/>
        <w:ind w:left="720"/>
      </w:pPr>
    </w:p>
    <w:p w14:paraId="20C8E082" w14:textId="77777777" w:rsidR="00424F46" w:rsidRPr="00BF1B19" w:rsidRDefault="00453715" w:rsidP="00745689">
      <w:pPr>
        <w:pStyle w:val="BodyText"/>
        <w:ind w:left="720"/>
        <w:jc w:val="both"/>
      </w:pPr>
      <w:r w:rsidRPr="00BF1B19">
        <w:t xml:space="preserve">Derivatives may either be exchange traded or </w:t>
      </w:r>
      <w:proofErr w:type="gramStart"/>
      <w:r w:rsidRPr="00BF1B19">
        <w:t>over-the-counter</w:t>
      </w:r>
      <w:proofErr w:type="gramEnd"/>
      <w:r w:rsidRPr="00BF1B19">
        <w:t xml:space="preserve"> (OTC) instruments.</w:t>
      </w:r>
    </w:p>
    <w:p w14:paraId="3E9FB9E0" w14:textId="77777777" w:rsidR="00424F46" w:rsidRPr="00BF1B19" w:rsidRDefault="006F2070" w:rsidP="00745689">
      <w:pPr>
        <w:pStyle w:val="BodyText"/>
        <w:spacing w:before="11"/>
        <w:ind w:left="720"/>
        <w:rPr>
          <w:sz w:val="17"/>
        </w:rPr>
      </w:pPr>
      <w:r w:rsidRPr="00BF1B19">
        <w:tab/>
      </w:r>
    </w:p>
    <w:p w14:paraId="10AA95BA" w14:textId="7AE8F163" w:rsidR="00424F46" w:rsidRPr="00BF1B19" w:rsidRDefault="00453715" w:rsidP="00745689">
      <w:pPr>
        <w:pStyle w:val="Level1"/>
        <w:keepNext/>
        <w:tabs>
          <w:tab w:val="clear" w:pos="851"/>
        </w:tabs>
        <w:ind w:left="720" w:hanging="720"/>
      </w:pPr>
      <w:bookmarkStart w:id="14" w:name="_bookmark1"/>
      <w:bookmarkEnd w:id="14"/>
      <w:r w:rsidRPr="00BF1B19">
        <w:rPr>
          <w:rStyle w:val="Level1asHeadingtext"/>
        </w:rPr>
        <w:t>FINANCIAL DERIVATIVE INSTRUMENTS &amp; EFFICIENT PORTFOLIO MANAGEMENT</w:t>
      </w:r>
      <w:bookmarkStart w:id="15" w:name="_NN3"/>
      <w:bookmarkEnd w:id="15"/>
      <w:r w:rsidR="00DA2E2B" w:rsidRPr="00BF1B19">
        <w:fldChar w:fldCharType="begin"/>
      </w:r>
      <w:r w:rsidR="00DA2E2B" w:rsidRPr="00BF1B19">
        <w:instrText xml:space="preserve"> TC "</w:instrText>
      </w:r>
      <w:r w:rsidR="00DA2E2B" w:rsidRPr="00BF1B19">
        <w:fldChar w:fldCharType="begin"/>
      </w:r>
      <w:r w:rsidR="00DA2E2B" w:rsidRPr="00BF1B19">
        <w:instrText xml:space="preserve"> REF _NN3\r \h </w:instrText>
      </w:r>
      <w:r w:rsidR="00D8760C" w:rsidRPr="00BF1B19">
        <w:instrText xml:space="preserve"> \* MERGEFORMAT </w:instrText>
      </w:r>
      <w:r w:rsidR="00DA2E2B" w:rsidRPr="00BF1B19">
        <w:fldChar w:fldCharType="separate"/>
      </w:r>
      <w:bookmarkStart w:id="16" w:name="_Toc98334746"/>
      <w:bookmarkStart w:id="17" w:name="_Toc172121807"/>
      <w:bookmarkStart w:id="18" w:name="_Toc191388726"/>
      <w:r w:rsidR="00860B2D">
        <w:instrText>2</w:instrText>
      </w:r>
      <w:r w:rsidR="00DA2E2B" w:rsidRPr="00BF1B19">
        <w:fldChar w:fldCharType="end"/>
      </w:r>
      <w:r w:rsidR="00DA2E2B" w:rsidRPr="00BF1B19">
        <w:tab/>
        <w:instrText>FINANCIAL DERIVATIVE INSTRUMENTS &amp; EFFICIENT PORTFOLIO MANAGEMENT</w:instrText>
      </w:r>
      <w:bookmarkEnd w:id="16"/>
      <w:bookmarkEnd w:id="17"/>
      <w:bookmarkEnd w:id="18"/>
      <w:r w:rsidR="00DA2E2B" w:rsidRPr="00BF1B19">
        <w:instrText xml:space="preserve">" \l 1 </w:instrText>
      </w:r>
      <w:r w:rsidR="00DA2E2B" w:rsidRPr="00BF1B19">
        <w:fldChar w:fldCharType="end"/>
      </w:r>
    </w:p>
    <w:p w14:paraId="7B3EC1C1" w14:textId="77777777" w:rsidR="00424F46" w:rsidRPr="00BF1B19" w:rsidRDefault="00453715" w:rsidP="005F28D3">
      <w:pPr>
        <w:pStyle w:val="BodyText"/>
        <w:ind w:left="720"/>
        <w:jc w:val="both"/>
      </w:pPr>
      <w:r w:rsidRPr="00BF1B19">
        <w:rPr>
          <w:b/>
          <w:u w:val="single"/>
        </w:rPr>
        <w:t>Currency Forwards and Currency Swaps:</w:t>
      </w:r>
      <w:r w:rsidRPr="00BF1B19">
        <w:rPr>
          <w:b/>
        </w:rPr>
        <w:t xml:space="preserve"> </w:t>
      </w:r>
      <w:r w:rsidRPr="00BF1B19">
        <w:t xml:space="preserve">The Investment Manager may hedge currency exposure or income flows </w:t>
      </w:r>
      <w:proofErr w:type="gramStart"/>
      <w:r w:rsidRPr="00BF1B19">
        <w:t>through the use of</w:t>
      </w:r>
      <w:proofErr w:type="gramEnd"/>
      <w:r w:rsidRPr="00BF1B19">
        <w:t xml:space="preserve"> foreign exchange contracts such as currency forwards and currency swaps. A currency forward, which is a foreign exchange non-standardized, negotiated, over-the- counter contract executed between two parties to purchase or sell a specific currency at an agreed price at a future settlement date, reduces exposure to changes in the value of the currency to be delivered and increases exposure to changes in the value of the currency to be received for the duration of the contract. A currency swap comprises two currency forwards, executed simultaneously where one forward is in the reverse direction of the other, each settling on different dates. The Fund may </w:t>
      </w:r>
      <w:proofErr w:type="gramStart"/>
      <w:r w:rsidRPr="00BF1B19">
        <w:t>enter into</w:t>
      </w:r>
      <w:proofErr w:type="gramEnd"/>
      <w:r w:rsidRPr="00BF1B19">
        <w:t xml:space="preserve"> such contracts to seek to hedge against exchange rate risks, increase exposure to a currency or shift exposure to currency fluctuations from one currency to another. To the extent that the Fund and any underlying collective investment scheme in which it invests holds assets, including cash, denominated in currencies other than the Base Currency of the Fund, the Fund will have foreign currency exposure. Accordingly, the Investment Manager will exercise its discretion in deciding </w:t>
      </w:r>
      <w:proofErr w:type="gramStart"/>
      <w:r w:rsidRPr="00BF1B19">
        <w:t>whether or not</w:t>
      </w:r>
      <w:proofErr w:type="gramEnd"/>
      <w:r w:rsidRPr="00BF1B19">
        <w:t xml:space="preserve"> to hedge all or some of such currency exposures back into the Base Currency of the Fund or otherwise alter the currency exposure characteristics of the assets held. Any such decisions will be based, in part, upon the Investment Manager's view of the likely trend of future exchange rates. Currency forwards and swaps may be used where the Fund has exposures which are not denominated in its Base Currency.</w:t>
      </w:r>
    </w:p>
    <w:p w14:paraId="319C0A5E" w14:textId="77777777" w:rsidR="00424F46" w:rsidRPr="00BF1B19" w:rsidRDefault="00424F46" w:rsidP="005F28D3">
      <w:pPr>
        <w:pStyle w:val="BodyText"/>
        <w:ind w:left="720"/>
      </w:pPr>
    </w:p>
    <w:p w14:paraId="4A46785D" w14:textId="77777777" w:rsidR="00424F46" w:rsidRPr="00BF1B19" w:rsidRDefault="00453715" w:rsidP="005F28D3">
      <w:pPr>
        <w:pStyle w:val="BodyText"/>
        <w:ind w:left="720"/>
        <w:jc w:val="both"/>
      </w:pPr>
      <w:r w:rsidRPr="00BF1B19">
        <w:t>In addition, where the Fund issues Classes of shares which are denominated in currencies other than the Base Currency, such Classes shall be hedged back to the Base Currency. Further information in this regard is included in the Prospectus.</w:t>
      </w:r>
    </w:p>
    <w:p w14:paraId="0C8454D1" w14:textId="77777777" w:rsidR="00424F46" w:rsidRPr="00BF1B19" w:rsidRDefault="00424F46" w:rsidP="005F28D3">
      <w:pPr>
        <w:pStyle w:val="BodyText"/>
        <w:ind w:left="720"/>
        <w:rPr>
          <w:sz w:val="22"/>
        </w:rPr>
      </w:pPr>
    </w:p>
    <w:p w14:paraId="4BB67EE9" w14:textId="77777777" w:rsidR="00424F46" w:rsidRPr="00BF1B19" w:rsidRDefault="00453715" w:rsidP="005F28D3">
      <w:pPr>
        <w:pStyle w:val="BodyText"/>
        <w:ind w:left="720"/>
        <w:jc w:val="both"/>
      </w:pPr>
      <w:bookmarkStart w:id="19" w:name="OLE_LINK10"/>
      <w:bookmarkStart w:id="20" w:name="OLE_LINK15"/>
      <w:r w:rsidRPr="00BF1B19">
        <w:rPr>
          <w:b/>
          <w:u w:val="single"/>
        </w:rPr>
        <w:t>Futures:</w:t>
      </w:r>
      <w:r w:rsidRPr="00BF1B19">
        <w:rPr>
          <w:b/>
        </w:rPr>
        <w:t xml:space="preserve"> </w:t>
      </w:r>
      <w:r w:rsidRPr="00BF1B19">
        <w:t xml:space="preserve">Futures are contracts to buy or sell a standard quantity of a specific asset (or, in some cases, receive or pay cash based on the performance of an underlying asset, instrument or index) at a pre- determined future date and at a price agreed through a transaction undertaken on an exchange. Futures contracts allow investors to hedge against market risk or gain exposure to the underlying market. Since these contracts are marked-to-market daily, investors can, by closing out their position, exit from their obligation to buy or sell the underlying assets prior to the contract’s delivery date. Futures may also be used to manage cash balances, both pending investment of a cash flow and with respect to fixed cash targets. Frequently, using futures to achieve a particular strategy, instead of using the underlying or related security or index, results in lower transaction costs being incurred. </w:t>
      </w:r>
    </w:p>
    <w:p w14:paraId="332F9832" w14:textId="77777777" w:rsidR="00424F46" w:rsidRPr="00BF1B19" w:rsidRDefault="00424F46" w:rsidP="00745689">
      <w:pPr>
        <w:pStyle w:val="BodyText"/>
        <w:spacing w:before="11"/>
        <w:ind w:left="720"/>
        <w:rPr>
          <w:sz w:val="17"/>
        </w:rPr>
      </w:pPr>
    </w:p>
    <w:p w14:paraId="43EE910D" w14:textId="77777777" w:rsidR="00424F46" w:rsidRPr="00BF1B19" w:rsidRDefault="00453715" w:rsidP="00745689">
      <w:pPr>
        <w:pStyle w:val="BodyText"/>
        <w:ind w:left="720"/>
        <w:jc w:val="both"/>
      </w:pPr>
      <w:r w:rsidRPr="00BF1B19">
        <w:t>The Fund may use futures, and swaps on futures, in pursuit of its investment objective.</w:t>
      </w:r>
    </w:p>
    <w:bookmarkEnd w:id="19"/>
    <w:bookmarkEnd w:id="20"/>
    <w:p w14:paraId="323F863A" w14:textId="77777777" w:rsidR="00424F46" w:rsidRPr="00BF1B19" w:rsidRDefault="00424F46" w:rsidP="005F28D3">
      <w:pPr>
        <w:pStyle w:val="BodyText"/>
        <w:ind w:left="720"/>
      </w:pPr>
    </w:p>
    <w:p w14:paraId="0025D1DD" w14:textId="6DECB923" w:rsidR="00E17641" w:rsidRPr="00BF1B19" w:rsidRDefault="00D55847" w:rsidP="005F28D3">
      <w:pPr>
        <w:pStyle w:val="BodyText"/>
        <w:ind w:left="720"/>
        <w:jc w:val="both"/>
      </w:pPr>
      <w:bookmarkStart w:id="21" w:name="_bookmark2"/>
      <w:bookmarkStart w:id="22" w:name="OLE_LINK1"/>
      <w:bookmarkStart w:id="23" w:name="OLE_LINK2"/>
      <w:bookmarkStart w:id="24" w:name="OLE_LINK3"/>
      <w:bookmarkEnd w:id="21"/>
      <w:r w:rsidRPr="00BF1B19">
        <w:rPr>
          <w:b/>
          <w:u w:val="single"/>
        </w:rPr>
        <w:t>Equity Swaps</w:t>
      </w:r>
      <w:r w:rsidR="009C17B2" w:rsidRPr="00BF1B19">
        <w:rPr>
          <w:b/>
          <w:u w:val="single"/>
        </w:rPr>
        <w:t>:</w:t>
      </w:r>
      <w:r w:rsidR="00E17641" w:rsidRPr="00BF1B19">
        <w:t xml:space="preserve"> The Fund will engage in</w:t>
      </w:r>
      <w:r w:rsidRPr="00BF1B19">
        <w:t xml:space="preserve"> equity </w:t>
      </w:r>
      <w:proofErr w:type="gramStart"/>
      <w:r w:rsidRPr="00BF1B19">
        <w:t>swaps</w:t>
      </w:r>
      <w:proofErr w:type="gramEnd"/>
      <w:r w:rsidR="00E17641" w:rsidRPr="00BF1B19">
        <w:t xml:space="preserve"> </w:t>
      </w:r>
      <w:r w:rsidR="00E74DE5" w:rsidRPr="00BF1B19">
        <w:t>and these may be used for investment purposes</w:t>
      </w:r>
      <w:r w:rsidR="00E17641" w:rsidRPr="00BF1B19">
        <w:t xml:space="preserve">. These are </w:t>
      </w:r>
      <w:r w:rsidR="00CB152A" w:rsidRPr="00BF1B19">
        <w:t xml:space="preserve">single-named </w:t>
      </w:r>
      <w:r w:rsidR="00E17641" w:rsidRPr="00BF1B19">
        <w:t xml:space="preserve">equity swaps </w:t>
      </w:r>
      <w:r w:rsidR="00CB152A" w:rsidRPr="00BF1B19">
        <w:t xml:space="preserve">(one swap one equity) </w:t>
      </w:r>
      <w:r w:rsidR="00E17641" w:rsidRPr="00BF1B19">
        <w:t>which provide synthetic exposure to exchange traded equity</w:t>
      </w:r>
      <w:r w:rsidR="00BF349F" w:rsidRPr="00BF1B19">
        <w:t xml:space="preserve"> stocks</w:t>
      </w:r>
      <w:r w:rsidR="00E17641" w:rsidRPr="00BF1B19">
        <w:t>. The</w:t>
      </w:r>
      <w:r w:rsidRPr="00BF1B19">
        <w:t xml:space="preserve">y are </w:t>
      </w:r>
      <w:r w:rsidR="00E17641" w:rsidRPr="00BF1B19">
        <w:t xml:space="preserve">primarily used to gain efficient access to </w:t>
      </w:r>
      <w:r w:rsidR="00BF349F" w:rsidRPr="00BF1B19">
        <w:t xml:space="preserve">certain </w:t>
      </w:r>
      <w:proofErr w:type="gramStart"/>
      <w:r w:rsidR="00E17641" w:rsidRPr="00BF1B19">
        <w:t>exchanges, and</w:t>
      </w:r>
      <w:proofErr w:type="gramEnd"/>
      <w:r w:rsidR="00E17641" w:rsidRPr="00BF1B19">
        <w:t xml:space="preserve"> are intended to reduce regulatory and operational risk.</w:t>
      </w:r>
      <w:r w:rsidR="00E74DE5" w:rsidRPr="00BF1B19">
        <w:t xml:space="preserve"> </w:t>
      </w:r>
      <w:r w:rsidR="00F56EA9" w:rsidRPr="00BF1B19">
        <w:t>100</w:t>
      </w:r>
      <w:r w:rsidR="00E74DE5" w:rsidRPr="00BF1B19">
        <w:t xml:space="preserve">% of the equity portfolio may be held through </w:t>
      </w:r>
      <w:r w:rsidRPr="00BF1B19">
        <w:t>equity</w:t>
      </w:r>
      <w:r w:rsidR="00E74DE5" w:rsidRPr="00BF1B19">
        <w:t xml:space="preserve"> swaps</w:t>
      </w:r>
      <w:r w:rsidR="00832F6A" w:rsidRPr="00BF1B19">
        <w:t>.</w:t>
      </w:r>
    </w:p>
    <w:p w14:paraId="45F0AFED" w14:textId="77777777" w:rsidR="00E17641" w:rsidRPr="00BF1B19" w:rsidRDefault="00E17641" w:rsidP="005F28D3">
      <w:pPr>
        <w:pStyle w:val="BodyText"/>
        <w:ind w:left="720"/>
        <w:jc w:val="both"/>
      </w:pPr>
    </w:p>
    <w:p w14:paraId="3D99EA1F" w14:textId="6E7A8800" w:rsidR="00E17641" w:rsidRPr="00BF1B19" w:rsidRDefault="00E17641" w:rsidP="005F28D3">
      <w:pPr>
        <w:pStyle w:val="BodyText"/>
        <w:ind w:left="720"/>
        <w:jc w:val="both"/>
      </w:pPr>
      <w:r w:rsidRPr="00BF1B19">
        <w:t xml:space="preserve">The underlying assets of the </w:t>
      </w:r>
      <w:r w:rsidR="00D55847" w:rsidRPr="00BF1B19">
        <w:t>equity</w:t>
      </w:r>
      <w:r w:rsidRPr="00BF1B19">
        <w:t xml:space="preserve"> swaps used by the Fund will only consist of exchange traded equit</w:t>
      </w:r>
      <w:r w:rsidR="001033EC" w:rsidRPr="00BF1B19">
        <w:t>ies</w:t>
      </w:r>
      <w:r w:rsidRPr="00BF1B19">
        <w:t xml:space="preserve">. Examples of the </w:t>
      </w:r>
      <w:r w:rsidR="00D55847" w:rsidRPr="00BF1B19">
        <w:t xml:space="preserve">equity swaps </w:t>
      </w:r>
      <w:r w:rsidRPr="00BF1B19">
        <w:t xml:space="preserve">which may at any time be relevant include but are not limited to the </w:t>
      </w:r>
      <w:r w:rsidR="001033EC" w:rsidRPr="00BF1B19">
        <w:t xml:space="preserve">equities listed on Hong Kong Stock Exchange and A-shares available via the </w:t>
      </w:r>
      <w:r w:rsidR="000079E6" w:rsidRPr="00BF1B19">
        <w:t xml:space="preserve">Hong Kong – China </w:t>
      </w:r>
      <w:r w:rsidR="001033EC" w:rsidRPr="00BF1B19">
        <w:t xml:space="preserve">Connect Program. </w:t>
      </w:r>
    </w:p>
    <w:p w14:paraId="5A4D2F8C" w14:textId="77777777" w:rsidR="00D55847" w:rsidRPr="00BF1B19" w:rsidRDefault="00D55847" w:rsidP="005F28D3">
      <w:pPr>
        <w:pStyle w:val="BodyText"/>
      </w:pPr>
    </w:p>
    <w:p w14:paraId="1CC42C6F" w14:textId="77777777" w:rsidR="00E17641" w:rsidRPr="00BF1B19" w:rsidRDefault="00E17641" w:rsidP="00745689">
      <w:pPr>
        <w:keepNext/>
        <w:spacing w:after="240"/>
        <w:ind w:left="720"/>
        <w:jc w:val="both"/>
        <w:rPr>
          <w:i/>
        </w:rPr>
      </w:pPr>
      <w:r w:rsidRPr="00BF1B19">
        <w:rPr>
          <w:i/>
        </w:rPr>
        <w:t>Counterparties</w:t>
      </w:r>
    </w:p>
    <w:p w14:paraId="0F022AFE" w14:textId="3EE1826E" w:rsidR="00E17641" w:rsidRPr="00BF1B19" w:rsidRDefault="00E17641" w:rsidP="005F28D3">
      <w:pPr>
        <w:pStyle w:val="BodyText"/>
        <w:ind w:left="720"/>
        <w:jc w:val="both"/>
      </w:pPr>
      <w:r w:rsidRPr="00BF1B19">
        <w:t xml:space="preserve">The counterparties to the </w:t>
      </w:r>
      <w:r w:rsidR="00E04E53" w:rsidRPr="00BF1B19">
        <w:t>Fund</w:t>
      </w:r>
      <w:r w:rsidRPr="00BF1B19">
        <w:t xml:space="preserve"> will be the credit institutions authorised within the EEA, </w:t>
      </w:r>
      <w:r w:rsidR="001E2843" w:rsidRPr="00BF1B19">
        <w:t xml:space="preserve">UK, </w:t>
      </w:r>
      <w:r w:rsidRPr="00BF1B19">
        <w:t xml:space="preserve">Switzerland, Jersey, Guernsey, the Isle of Man, the United States, Canada, Japan, Australia or New Zealand. In the case of a counterparty which is not a credit institution, the counterparty must have a credit rating of at least </w:t>
      </w:r>
      <w:proofErr w:type="spellStart"/>
      <w:r w:rsidRPr="00BF1B19">
        <w:t>A2</w:t>
      </w:r>
      <w:proofErr w:type="spellEnd"/>
      <w:r w:rsidR="00F7667E" w:rsidRPr="00BF1B19">
        <w:t xml:space="preserve"> or be deemed to be equally creditworthy by the Manager</w:t>
      </w:r>
      <w:r w:rsidRPr="00BF1B19">
        <w:t>, or equivalent, or otherwise meet the relevant requirements of the Central Bank.</w:t>
      </w:r>
    </w:p>
    <w:p w14:paraId="6138018D" w14:textId="78ADD351" w:rsidR="00E17641" w:rsidRPr="00BF1B19" w:rsidRDefault="00E17641" w:rsidP="00745689">
      <w:pPr>
        <w:pStyle w:val="BodyText"/>
        <w:ind w:left="720"/>
      </w:pPr>
    </w:p>
    <w:p w14:paraId="3CA06FAA" w14:textId="092287F3" w:rsidR="00E17641" w:rsidRPr="00BF1B19" w:rsidRDefault="00E17641" w:rsidP="005F28D3">
      <w:pPr>
        <w:pStyle w:val="BodyText"/>
        <w:ind w:left="720"/>
        <w:jc w:val="both"/>
      </w:pPr>
      <w:r w:rsidRPr="00BF1B19">
        <w:t xml:space="preserve">Counterparties will not have any discretion over the composition or management of the Fund’s investments or under the underlying investments of any </w:t>
      </w:r>
      <w:proofErr w:type="spellStart"/>
      <w:r w:rsidRPr="00BF1B19">
        <w:t>FDIs</w:t>
      </w:r>
      <w:proofErr w:type="spellEnd"/>
      <w:r w:rsidRPr="00BF1B19">
        <w:t xml:space="preserve">. No approval from counterparties is required in relation to any portfolio transaction (whether related to </w:t>
      </w:r>
      <w:r w:rsidR="00D55847" w:rsidRPr="00BF1B19">
        <w:t>equity swap</w:t>
      </w:r>
      <w:r w:rsidRPr="00BF1B19">
        <w:t xml:space="preserve">s specifically or </w:t>
      </w:r>
      <w:proofErr w:type="spellStart"/>
      <w:r w:rsidRPr="00BF1B19">
        <w:t>FDIs</w:t>
      </w:r>
      <w:proofErr w:type="spellEnd"/>
      <w:r w:rsidRPr="00BF1B19">
        <w:t xml:space="preserve"> in general).</w:t>
      </w:r>
    </w:p>
    <w:p w14:paraId="71E8A6BE" w14:textId="252CEB8D" w:rsidR="00E17641" w:rsidRPr="00BF1B19" w:rsidRDefault="00E17641" w:rsidP="005F28D3">
      <w:pPr>
        <w:pStyle w:val="BodyText"/>
        <w:ind w:left="720"/>
      </w:pPr>
    </w:p>
    <w:p w14:paraId="0551CD00" w14:textId="0CC62A41" w:rsidR="00E17641" w:rsidRPr="00BF1B19" w:rsidRDefault="00E17641" w:rsidP="00745689">
      <w:pPr>
        <w:pStyle w:val="BodyText"/>
        <w:ind w:left="720"/>
        <w:jc w:val="both"/>
      </w:pPr>
      <w:r w:rsidRPr="00BF1B19">
        <w:t xml:space="preserve">The Fund will not </w:t>
      </w:r>
      <w:proofErr w:type="gramStart"/>
      <w:r w:rsidRPr="00BF1B19">
        <w:t>enter into</w:t>
      </w:r>
      <w:proofErr w:type="gramEnd"/>
      <w:r w:rsidRPr="00BF1B19">
        <w:t xml:space="preserve"> any </w:t>
      </w:r>
      <w:r w:rsidR="00D55847" w:rsidRPr="00BF1B19">
        <w:t>equity swap</w:t>
      </w:r>
      <w:r w:rsidRPr="00BF1B19">
        <w:t>s with any related parties of the Manager.</w:t>
      </w:r>
    </w:p>
    <w:bookmarkEnd w:id="22"/>
    <w:bookmarkEnd w:id="23"/>
    <w:bookmarkEnd w:id="24"/>
    <w:p w14:paraId="2E3223C9" w14:textId="77777777" w:rsidR="00E17641" w:rsidRPr="00BF1B19" w:rsidRDefault="00E17641" w:rsidP="005F28D3">
      <w:pPr>
        <w:pStyle w:val="BodyText"/>
        <w:ind w:left="720"/>
        <w:rPr>
          <w:sz w:val="17"/>
        </w:rPr>
      </w:pPr>
    </w:p>
    <w:p w14:paraId="428E1D7F" w14:textId="77777777" w:rsidR="00424F46" w:rsidRPr="00BF1B19" w:rsidRDefault="00453715" w:rsidP="00745689">
      <w:pPr>
        <w:keepNext/>
        <w:spacing w:after="240"/>
        <w:ind w:left="720"/>
        <w:jc w:val="both"/>
        <w:rPr>
          <w:i/>
        </w:rPr>
      </w:pPr>
      <w:r w:rsidRPr="00BF1B19">
        <w:rPr>
          <w:i/>
        </w:rPr>
        <w:t>Collateral</w:t>
      </w:r>
    </w:p>
    <w:p w14:paraId="00D76E3F" w14:textId="12E8A5D0" w:rsidR="00424F46" w:rsidRPr="00BF1B19" w:rsidRDefault="00453715" w:rsidP="00745689">
      <w:pPr>
        <w:pStyle w:val="BodyText"/>
        <w:ind w:left="720"/>
        <w:jc w:val="both"/>
      </w:pPr>
      <w:r w:rsidRPr="00BF1B19">
        <w:t xml:space="preserve">In practice, no collateral will be posted by counterparties to the Fund in respect of </w:t>
      </w:r>
      <w:r w:rsidR="00D55847" w:rsidRPr="00BF1B19">
        <w:t>equity swap</w:t>
      </w:r>
      <w:r w:rsidRPr="00BF1B19">
        <w:t>s.</w:t>
      </w:r>
    </w:p>
    <w:p w14:paraId="63AD1E55" w14:textId="77777777" w:rsidR="00424F46" w:rsidRPr="00BF1B19" w:rsidRDefault="00424F46" w:rsidP="005F28D3">
      <w:pPr>
        <w:pStyle w:val="BodyText"/>
        <w:ind w:left="720"/>
        <w:rPr>
          <w:sz w:val="17"/>
        </w:rPr>
      </w:pPr>
    </w:p>
    <w:p w14:paraId="03718C9C" w14:textId="77777777" w:rsidR="00424F46" w:rsidRPr="00BF1B19" w:rsidRDefault="00453715" w:rsidP="00745689">
      <w:pPr>
        <w:keepNext/>
        <w:spacing w:after="240"/>
        <w:ind w:left="720"/>
        <w:jc w:val="both"/>
        <w:rPr>
          <w:i/>
        </w:rPr>
      </w:pPr>
      <w:r w:rsidRPr="00BF1B19">
        <w:rPr>
          <w:i/>
        </w:rPr>
        <w:t>Safekeeping</w:t>
      </w:r>
    </w:p>
    <w:p w14:paraId="4C52CE60" w14:textId="337E96B3" w:rsidR="00424F46" w:rsidRPr="00BF1B19" w:rsidRDefault="00453715" w:rsidP="005F28D3">
      <w:pPr>
        <w:pStyle w:val="BodyText"/>
        <w:ind w:left="720"/>
        <w:jc w:val="both"/>
      </w:pPr>
      <w:r w:rsidRPr="00BF1B19">
        <w:t xml:space="preserve">As no collateral will be posted by counterparties to the Fund, no safekeeping of assets would be required in respect of </w:t>
      </w:r>
      <w:r w:rsidR="00D55847" w:rsidRPr="00BF1B19">
        <w:t>equity swap</w:t>
      </w:r>
      <w:r w:rsidRPr="00BF1B19">
        <w:t>s.</w:t>
      </w:r>
    </w:p>
    <w:p w14:paraId="1FC41F74" w14:textId="77777777" w:rsidR="00424F46" w:rsidRPr="00BF1B19" w:rsidRDefault="00424F46" w:rsidP="00745689">
      <w:pPr>
        <w:pStyle w:val="BodyText"/>
        <w:ind w:left="720"/>
      </w:pPr>
    </w:p>
    <w:p w14:paraId="41F7722B" w14:textId="77777777" w:rsidR="00424F46" w:rsidRPr="00BF1B19" w:rsidRDefault="00453715" w:rsidP="00745689">
      <w:pPr>
        <w:keepNext/>
        <w:spacing w:after="240"/>
        <w:ind w:left="720"/>
        <w:jc w:val="both"/>
        <w:rPr>
          <w:i/>
        </w:rPr>
      </w:pPr>
      <w:r w:rsidRPr="00BF1B19">
        <w:rPr>
          <w:i/>
        </w:rPr>
        <w:t>Return sharing</w:t>
      </w:r>
    </w:p>
    <w:p w14:paraId="5522D3A5" w14:textId="09B03437" w:rsidR="00424F46" w:rsidRPr="00BF1B19" w:rsidRDefault="00453715" w:rsidP="005F28D3">
      <w:pPr>
        <w:pStyle w:val="BodyText"/>
        <w:ind w:left="720"/>
        <w:jc w:val="both"/>
      </w:pPr>
      <w:r w:rsidRPr="00BF1B19">
        <w:t xml:space="preserve">All the economic benefits (and associated costs) of </w:t>
      </w:r>
      <w:proofErr w:type="gramStart"/>
      <w:r w:rsidRPr="00BF1B19">
        <w:t>entering into</w:t>
      </w:r>
      <w:proofErr w:type="gramEnd"/>
      <w:r w:rsidRPr="00BF1B19">
        <w:t xml:space="preserve"> </w:t>
      </w:r>
      <w:r w:rsidR="00D55847" w:rsidRPr="00BF1B19">
        <w:t>equity swap</w:t>
      </w:r>
      <w:r w:rsidRPr="00BF1B19">
        <w:t>s will be received or borne (as appropriate) by the Fund.</w:t>
      </w:r>
    </w:p>
    <w:p w14:paraId="341E3BD5" w14:textId="77777777" w:rsidR="00424F46" w:rsidRPr="00BF1B19" w:rsidRDefault="00424F46" w:rsidP="005F28D3">
      <w:pPr>
        <w:pStyle w:val="BodyText"/>
        <w:ind w:left="720"/>
        <w:rPr>
          <w:sz w:val="17"/>
        </w:rPr>
      </w:pPr>
    </w:p>
    <w:p w14:paraId="06EA1A85" w14:textId="77777777" w:rsidR="00424F46" w:rsidRPr="00BF1B19" w:rsidRDefault="00453715" w:rsidP="00745689">
      <w:pPr>
        <w:keepNext/>
        <w:spacing w:after="240"/>
        <w:ind w:left="720"/>
        <w:jc w:val="both"/>
        <w:rPr>
          <w:i/>
        </w:rPr>
      </w:pPr>
      <w:r w:rsidRPr="00BF1B19">
        <w:rPr>
          <w:i/>
        </w:rPr>
        <w:t>Risks</w:t>
      </w:r>
    </w:p>
    <w:p w14:paraId="79B50458" w14:textId="77777777" w:rsidR="00424F46" w:rsidRPr="00BF1B19" w:rsidRDefault="00453715" w:rsidP="00745689">
      <w:pPr>
        <w:pStyle w:val="BodyText"/>
        <w:ind w:left="720"/>
        <w:jc w:val="both"/>
      </w:pPr>
      <w:r w:rsidRPr="00BF1B19">
        <w:t>Please see the section of the Prospectus, and this Supplement, entitled “Risk Factors”.</w:t>
      </w:r>
    </w:p>
    <w:p w14:paraId="512A039D" w14:textId="77777777" w:rsidR="00B7633C" w:rsidRPr="00BF1B19" w:rsidRDefault="00B7633C" w:rsidP="00745689">
      <w:pPr>
        <w:pStyle w:val="BodyText"/>
        <w:ind w:left="720"/>
        <w:jc w:val="both"/>
      </w:pPr>
    </w:p>
    <w:p w14:paraId="4491EEB2" w14:textId="2697BE62" w:rsidR="00B7633C" w:rsidRPr="00BF1B19" w:rsidRDefault="00B7633C" w:rsidP="005F28D3">
      <w:pPr>
        <w:pStyle w:val="BodyText"/>
        <w:ind w:left="720"/>
        <w:jc w:val="both"/>
        <w:rPr>
          <w:sz w:val="17"/>
        </w:rPr>
      </w:pPr>
      <w:r w:rsidRPr="00BF1B19">
        <w:t xml:space="preserve">All </w:t>
      </w:r>
      <w:proofErr w:type="spellStart"/>
      <w:r w:rsidRPr="00BF1B19">
        <w:t>FDI</w:t>
      </w:r>
      <w:proofErr w:type="spellEnd"/>
      <w:r w:rsidRPr="00BF1B19">
        <w:t xml:space="preserve"> transactions entered into will be dealt in on a Regulated Market or on an </w:t>
      </w:r>
      <w:proofErr w:type="gramStart"/>
      <w:r w:rsidRPr="00BF1B19">
        <w:t>over the counter</w:t>
      </w:r>
      <w:proofErr w:type="gramEnd"/>
      <w:r w:rsidRPr="00BF1B19">
        <w:t xml:space="preserve"> basis (OTC) and in the case of OTC transactions will be with counterparties which are credit institutions authorised within the EEA, UK, Switzerland, Jersey, Guernsey, the Isle of Man, the United States, Canada, Japan, Australia, New Zealand, Singapore and Hong Kong SAR. In the case of a counterparty which is not a credit institution, the counterparty must have (or be deemed by the Investment Manager to have) a credit rating of at least </w:t>
      </w:r>
      <w:proofErr w:type="spellStart"/>
      <w:r w:rsidRPr="00BF1B19">
        <w:t>A2</w:t>
      </w:r>
      <w:proofErr w:type="spellEnd"/>
      <w:r w:rsidRPr="00BF1B19">
        <w:t xml:space="preserve"> or equivalent or otherwise meet the requirements of the Central Bank. The Fund will use the absolute </w:t>
      </w:r>
      <w:proofErr w:type="spellStart"/>
      <w:r w:rsidRPr="00BF1B19">
        <w:t>VaR</w:t>
      </w:r>
      <w:proofErr w:type="spellEnd"/>
      <w:r w:rsidRPr="00BF1B19">
        <w:t xml:space="preserve"> approach to calculate its daily global exposure in accordance with its risk management process and the requirements of the Central Bank.</w:t>
      </w:r>
    </w:p>
    <w:p w14:paraId="30748B25" w14:textId="77777777" w:rsidR="00424F46" w:rsidRPr="00BF1B19" w:rsidRDefault="00424F46" w:rsidP="005F28D3">
      <w:pPr>
        <w:pStyle w:val="BodyText"/>
        <w:ind w:left="720"/>
        <w:rPr>
          <w:sz w:val="17"/>
        </w:rPr>
      </w:pPr>
    </w:p>
    <w:p w14:paraId="020AE8EE" w14:textId="5F7B7DBB" w:rsidR="00424F46" w:rsidRPr="00BF1B19" w:rsidRDefault="00453715" w:rsidP="00745689">
      <w:pPr>
        <w:pStyle w:val="Level1"/>
        <w:keepNext/>
        <w:tabs>
          <w:tab w:val="clear" w:pos="851"/>
        </w:tabs>
        <w:spacing w:after="180"/>
        <w:ind w:left="720" w:hanging="720"/>
      </w:pPr>
      <w:bookmarkStart w:id="25" w:name="_bookmark3"/>
      <w:bookmarkEnd w:id="25"/>
      <w:r w:rsidRPr="00BF1B19">
        <w:rPr>
          <w:rStyle w:val="Level1asHeadingtext"/>
        </w:rPr>
        <w:t>BORROWING</w:t>
      </w:r>
      <w:bookmarkStart w:id="26" w:name="_NN4"/>
      <w:bookmarkEnd w:id="26"/>
      <w:r w:rsidR="00DA2E2B" w:rsidRPr="00BF1B19">
        <w:fldChar w:fldCharType="begin"/>
      </w:r>
      <w:r w:rsidR="00DA2E2B" w:rsidRPr="00BF1B19">
        <w:instrText xml:space="preserve"> TC "</w:instrText>
      </w:r>
      <w:r w:rsidR="00DA2E2B" w:rsidRPr="00BF1B19">
        <w:fldChar w:fldCharType="begin"/>
      </w:r>
      <w:r w:rsidR="00DA2E2B" w:rsidRPr="00BF1B19">
        <w:instrText xml:space="preserve"> REF _NN4\r \h </w:instrText>
      </w:r>
      <w:r w:rsidR="00D8760C" w:rsidRPr="00BF1B19">
        <w:instrText xml:space="preserve"> \* MERGEFORMAT </w:instrText>
      </w:r>
      <w:r w:rsidR="00DA2E2B" w:rsidRPr="00BF1B19">
        <w:fldChar w:fldCharType="separate"/>
      </w:r>
      <w:bookmarkStart w:id="27" w:name="_Toc98334747"/>
      <w:bookmarkStart w:id="28" w:name="_Toc172121808"/>
      <w:bookmarkStart w:id="29" w:name="_Toc191388727"/>
      <w:r w:rsidR="00860B2D">
        <w:instrText>3</w:instrText>
      </w:r>
      <w:r w:rsidR="00DA2E2B" w:rsidRPr="00BF1B19">
        <w:fldChar w:fldCharType="end"/>
      </w:r>
      <w:r w:rsidR="00DA2E2B" w:rsidRPr="00BF1B19">
        <w:tab/>
        <w:instrText>BORROWING</w:instrText>
      </w:r>
      <w:bookmarkEnd w:id="27"/>
      <w:bookmarkEnd w:id="28"/>
      <w:bookmarkEnd w:id="29"/>
      <w:r w:rsidR="00DA2E2B" w:rsidRPr="00BF1B19">
        <w:instrText xml:space="preserve">" \l 1 </w:instrText>
      </w:r>
      <w:r w:rsidR="00DA2E2B" w:rsidRPr="00BF1B19">
        <w:fldChar w:fldCharType="end"/>
      </w:r>
    </w:p>
    <w:p w14:paraId="69B096A0" w14:textId="77777777" w:rsidR="00424F46" w:rsidRPr="00BF1B19" w:rsidRDefault="00453715" w:rsidP="005F28D3">
      <w:pPr>
        <w:pStyle w:val="BodyText"/>
        <w:ind w:left="720"/>
        <w:jc w:val="both"/>
      </w:pPr>
      <w:r w:rsidRPr="00BF1B19">
        <w:t>In accordance with the general provisions set out in the Prospectus under the heading Borrowing and Lending Powers and Restrictions, the Fund may borrow up to 10% of its total Net Asset Value on a temporary basis and not for speculative purposes.</w:t>
      </w:r>
    </w:p>
    <w:p w14:paraId="368F7495" w14:textId="77777777" w:rsidR="00424F46" w:rsidRPr="00BF1B19" w:rsidRDefault="00424F46" w:rsidP="005F28D3">
      <w:pPr>
        <w:pStyle w:val="BodyText"/>
        <w:ind w:left="720"/>
        <w:rPr>
          <w:sz w:val="17"/>
        </w:rPr>
      </w:pPr>
    </w:p>
    <w:p w14:paraId="387846A8" w14:textId="7025080E" w:rsidR="00424F46" w:rsidRPr="00BF1B19" w:rsidRDefault="00453715" w:rsidP="00745689">
      <w:pPr>
        <w:pStyle w:val="Level1"/>
        <w:keepNext/>
        <w:tabs>
          <w:tab w:val="clear" w:pos="851"/>
        </w:tabs>
        <w:spacing w:after="180"/>
        <w:ind w:left="720" w:hanging="720"/>
      </w:pPr>
      <w:bookmarkStart w:id="30" w:name="_bookmark4"/>
      <w:bookmarkEnd w:id="30"/>
      <w:r w:rsidRPr="00BF1B19">
        <w:rPr>
          <w:rStyle w:val="Level1asHeadingtext"/>
        </w:rPr>
        <w:t>LEVERAGE AND GLOBAL EXPOSURE</w:t>
      </w:r>
      <w:bookmarkStart w:id="31" w:name="_NN5"/>
      <w:bookmarkEnd w:id="31"/>
      <w:r w:rsidR="00DA2E2B" w:rsidRPr="00BF1B19">
        <w:fldChar w:fldCharType="begin"/>
      </w:r>
      <w:r w:rsidR="00DA2E2B" w:rsidRPr="00BF1B19">
        <w:instrText xml:space="preserve"> TC "</w:instrText>
      </w:r>
      <w:r w:rsidR="00DA2E2B" w:rsidRPr="00BF1B19">
        <w:fldChar w:fldCharType="begin"/>
      </w:r>
      <w:r w:rsidR="00DA2E2B" w:rsidRPr="00BF1B19">
        <w:instrText xml:space="preserve"> REF _NN5\r \h </w:instrText>
      </w:r>
      <w:r w:rsidR="00D8760C" w:rsidRPr="00BF1B19">
        <w:instrText xml:space="preserve"> \* MERGEFORMAT </w:instrText>
      </w:r>
      <w:r w:rsidR="00DA2E2B" w:rsidRPr="00BF1B19">
        <w:fldChar w:fldCharType="separate"/>
      </w:r>
      <w:bookmarkStart w:id="32" w:name="_Toc98334748"/>
      <w:bookmarkStart w:id="33" w:name="_Toc172121809"/>
      <w:bookmarkStart w:id="34" w:name="_Toc191388728"/>
      <w:r w:rsidR="00860B2D">
        <w:instrText>4</w:instrText>
      </w:r>
      <w:r w:rsidR="00DA2E2B" w:rsidRPr="00BF1B19">
        <w:fldChar w:fldCharType="end"/>
      </w:r>
      <w:r w:rsidR="00DA2E2B" w:rsidRPr="00BF1B19">
        <w:tab/>
        <w:instrText>LEVERAGE AND GLOBAL EXPOSURE</w:instrText>
      </w:r>
      <w:bookmarkEnd w:id="32"/>
      <w:bookmarkEnd w:id="33"/>
      <w:bookmarkEnd w:id="34"/>
      <w:r w:rsidR="00DA2E2B" w:rsidRPr="00BF1B19">
        <w:instrText xml:space="preserve">" \l 1 </w:instrText>
      </w:r>
      <w:r w:rsidR="00DA2E2B" w:rsidRPr="00BF1B19">
        <w:fldChar w:fldCharType="end"/>
      </w:r>
    </w:p>
    <w:p w14:paraId="75508B19" w14:textId="09FCA3A4" w:rsidR="00424F46" w:rsidRPr="00BF1B19" w:rsidRDefault="00453715" w:rsidP="005F28D3">
      <w:pPr>
        <w:pStyle w:val="BodyText"/>
        <w:ind w:left="720"/>
        <w:jc w:val="both"/>
      </w:pPr>
      <w:r w:rsidRPr="00BF1B19">
        <w:t xml:space="preserve">The Fund measures global exposure using the absolute </w:t>
      </w:r>
      <w:proofErr w:type="spellStart"/>
      <w:r w:rsidRPr="00BF1B19">
        <w:t>VaR</w:t>
      </w:r>
      <w:proofErr w:type="spellEnd"/>
      <w:r w:rsidRPr="00BF1B19">
        <w:t xml:space="preserve"> method. </w:t>
      </w:r>
      <w:r w:rsidR="00B211BF" w:rsidRPr="00BF1B19">
        <w:t xml:space="preserve">The absolute </w:t>
      </w:r>
      <w:proofErr w:type="spellStart"/>
      <w:r w:rsidR="00B211BF" w:rsidRPr="00BF1B19">
        <w:t>VaR</w:t>
      </w:r>
      <w:proofErr w:type="spellEnd"/>
      <w:r w:rsidR="00B211BF" w:rsidRPr="00BF1B19">
        <w:t xml:space="preserve"> approach calculates the 20-day 99% </w:t>
      </w:r>
      <w:proofErr w:type="spellStart"/>
      <w:r w:rsidR="00B211BF" w:rsidRPr="00BF1B19">
        <w:t>VaR</w:t>
      </w:r>
      <w:proofErr w:type="spellEnd"/>
      <w:r w:rsidR="00B211BF" w:rsidRPr="00BF1B19">
        <w:t xml:space="preserve"> of the portfolio and capped at certain percentage (currently 20%) </w:t>
      </w:r>
      <w:r w:rsidR="00B211BF" w:rsidRPr="00BF1B19">
        <w:lastRenderedPageBreak/>
        <w:t xml:space="preserve">of the Net Asset Value of the Program. </w:t>
      </w:r>
      <w:r w:rsidRPr="00BF1B19">
        <w:t>Further information regarding leverage and global exposure is set out in the Prospectus.</w:t>
      </w:r>
    </w:p>
    <w:p w14:paraId="2DF546FA" w14:textId="77777777" w:rsidR="00424F46" w:rsidRPr="00BF1B19" w:rsidRDefault="00424F46" w:rsidP="005F28D3">
      <w:pPr>
        <w:pStyle w:val="BodyText"/>
        <w:ind w:left="720"/>
      </w:pPr>
    </w:p>
    <w:p w14:paraId="35B0B944" w14:textId="0FB7C0D2" w:rsidR="00424F46" w:rsidRPr="00BF1B19" w:rsidRDefault="00453715" w:rsidP="005F28D3">
      <w:pPr>
        <w:pStyle w:val="BodyText"/>
        <w:ind w:left="720"/>
        <w:jc w:val="both"/>
      </w:pPr>
      <w:r w:rsidRPr="00BF1B19">
        <w:t xml:space="preserve">The Fund’s expected gross level of leverage is not expected to exceed </w:t>
      </w:r>
      <w:r w:rsidR="001940AA" w:rsidRPr="00BF1B19">
        <w:t>4</w:t>
      </w:r>
      <w:r w:rsidRPr="00BF1B19">
        <w:t xml:space="preserve">00% of the Fund’s Net Asset Value. Whilst the Manager does not expect the level of leverage to exceed this level, leverage levels may vary and may exceed this figure under certain circumstances. Leverage is calculated using the sum of the notional values of </w:t>
      </w:r>
      <w:proofErr w:type="gramStart"/>
      <w:r w:rsidRPr="00BF1B19">
        <w:t>all of</w:t>
      </w:r>
      <w:proofErr w:type="gramEnd"/>
      <w:r w:rsidRPr="00BF1B19">
        <w:t xml:space="preserve"> the </w:t>
      </w:r>
      <w:proofErr w:type="spellStart"/>
      <w:r w:rsidRPr="00BF1B19">
        <w:t>FDIs</w:t>
      </w:r>
      <w:proofErr w:type="spellEnd"/>
      <w:r w:rsidRPr="00BF1B19">
        <w:t xml:space="preserve"> held by the Fund.</w:t>
      </w:r>
    </w:p>
    <w:p w14:paraId="176D0159" w14:textId="460A5419" w:rsidR="00B211BF" w:rsidRPr="00BF1B19" w:rsidRDefault="00B211BF" w:rsidP="005F28D3">
      <w:pPr>
        <w:pStyle w:val="BodyText"/>
        <w:ind w:left="720"/>
        <w:jc w:val="both"/>
      </w:pPr>
    </w:p>
    <w:p w14:paraId="1B696E4E" w14:textId="097063C5" w:rsidR="00E17641" w:rsidRPr="00BF1B19" w:rsidRDefault="00E17641" w:rsidP="00745689">
      <w:pPr>
        <w:pStyle w:val="Level1"/>
        <w:keepNext/>
        <w:tabs>
          <w:tab w:val="clear" w:pos="851"/>
        </w:tabs>
        <w:spacing w:after="180"/>
        <w:ind w:left="720" w:hanging="720"/>
      </w:pPr>
      <w:r w:rsidRPr="00BF1B19">
        <w:rPr>
          <w:rStyle w:val="Level1asHeadingtext"/>
        </w:rPr>
        <w:t>INVESTMENT RESTRICTI</w:t>
      </w:r>
      <w:r w:rsidR="002464EA" w:rsidRPr="00BF1B19">
        <w:rPr>
          <w:rStyle w:val="Level1asHeadingtext"/>
        </w:rPr>
        <w:t>ONS</w:t>
      </w:r>
      <w:bookmarkStart w:id="35" w:name="_NN6"/>
      <w:bookmarkEnd w:id="35"/>
      <w:r w:rsidR="00DA2E2B" w:rsidRPr="00BF1B19">
        <w:fldChar w:fldCharType="begin"/>
      </w:r>
      <w:r w:rsidR="00DA2E2B" w:rsidRPr="00BF1B19">
        <w:instrText xml:space="preserve"> TC "</w:instrText>
      </w:r>
      <w:r w:rsidR="00DA2E2B" w:rsidRPr="00BF1B19">
        <w:fldChar w:fldCharType="begin"/>
      </w:r>
      <w:r w:rsidR="00DA2E2B" w:rsidRPr="00BF1B19">
        <w:instrText xml:space="preserve"> REF _NN6\r \h </w:instrText>
      </w:r>
      <w:r w:rsidR="00D8760C" w:rsidRPr="00BF1B19">
        <w:instrText xml:space="preserve"> \* MERGEFORMAT </w:instrText>
      </w:r>
      <w:r w:rsidR="00DA2E2B" w:rsidRPr="00BF1B19">
        <w:fldChar w:fldCharType="separate"/>
      </w:r>
      <w:bookmarkStart w:id="36" w:name="_Toc98334749"/>
      <w:bookmarkStart w:id="37" w:name="_Toc172121810"/>
      <w:bookmarkStart w:id="38" w:name="_Toc191388729"/>
      <w:r w:rsidR="00860B2D">
        <w:instrText>5</w:instrText>
      </w:r>
      <w:r w:rsidR="00DA2E2B" w:rsidRPr="00BF1B19">
        <w:fldChar w:fldCharType="end"/>
      </w:r>
      <w:r w:rsidR="00DA2E2B" w:rsidRPr="00BF1B19">
        <w:tab/>
        <w:instrText>INVESTMENT RESTRICTIONS</w:instrText>
      </w:r>
      <w:bookmarkEnd w:id="36"/>
      <w:bookmarkEnd w:id="37"/>
      <w:bookmarkEnd w:id="38"/>
      <w:r w:rsidR="00DA2E2B" w:rsidRPr="00BF1B19">
        <w:instrText xml:space="preserve">" \l 1 </w:instrText>
      </w:r>
      <w:r w:rsidR="00DA2E2B" w:rsidRPr="00BF1B19">
        <w:fldChar w:fldCharType="end"/>
      </w:r>
    </w:p>
    <w:p w14:paraId="36B9631B" w14:textId="0593297C" w:rsidR="00E17641" w:rsidRPr="00BF1B19" w:rsidRDefault="00E17641" w:rsidP="005F28D3">
      <w:pPr>
        <w:pStyle w:val="BodyText"/>
        <w:ind w:left="720"/>
        <w:jc w:val="both"/>
      </w:pPr>
      <w:r w:rsidRPr="00BF1B19">
        <w:t xml:space="preserve">The investment restrictions applicable to the Fund are set out under the section entitled </w:t>
      </w:r>
      <w:r w:rsidR="00E91017" w:rsidRPr="00BF1B19">
        <w:t>“</w:t>
      </w:r>
      <w:r w:rsidRPr="00BF1B19">
        <w:t>Investment Restrictions</w:t>
      </w:r>
      <w:r w:rsidR="00E91017" w:rsidRPr="00BF1B19">
        <w:t>”</w:t>
      </w:r>
      <w:r w:rsidRPr="00BF1B19">
        <w:t xml:space="preserve"> in the Prospectus. The Fund may not invest more than 10% of its assets under management in collective investment schemes.</w:t>
      </w:r>
    </w:p>
    <w:p w14:paraId="011BC234" w14:textId="77777777" w:rsidR="00E17641" w:rsidRPr="00BF1B19" w:rsidRDefault="00E17641" w:rsidP="005F28D3">
      <w:pPr>
        <w:pStyle w:val="BodyText"/>
        <w:ind w:left="720"/>
        <w:jc w:val="both"/>
      </w:pPr>
    </w:p>
    <w:p w14:paraId="20F5EBA1" w14:textId="7BB198DD" w:rsidR="00E17641" w:rsidRPr="00BF1B19" w:rsidRDefault="00E17641" w:rsidP="005F28D3">
      <w:pPr>
        <w:pStyle w:val="Level1"/>
        <w:keepNext/>
        <w:tabs>
          <w:tab w:val="clear" w:pos="851"/>
        </w:tabs>
        <w:ind w:left="720" w:hanging="720"/>
      </w:pPr>
      <w:r w:rsidRPr="00BF1B19">
        <w:rPr>
          <w:rStyle w:val="Level1asHeadingtext"/>
        </w:rPr>
        <w:t>INVESTMENT MANAGER AND SUB-INVESTMENT MANAGER</w:t>
      </w:r>
      <w:bookmarkStart w:id="39" w:name="_NN7"/>
      <w:bookmarkEnd w:id="39"/>
      <w:r w:rsidR="00DA2E2B" w:rsidRPr="00BF1B19">
        <w:fldChar w:fldCharType="begin"/>
      </w:r>
      <w:r w:rsidR="00DA2E2B" w:rsidRPr="00BF1B19">
        <w:instrText xml:space="preserve"> TC "</w:instrText>
      </w:r>
      <w:r w:rsidR="00DA2E2B" w:rsidRPr="00BF1B19">
        <w:fldChar w:fldCharType="begin"/>
      </w:r>
      <w:r w:rsidR="00DA2E2B" w:rsidRPr="00BF1B19">
        <w:instrText xml:space="preserve"> REF _NN7\r \h </w:instrText>
      </w:r>
      <w:r w:rsidR="00D8760C" w:rsidRPr="00BF1B19">
        <w:instrText xml:space="preserve"> \* MERGEFORMAT </w:instrText>
      </w:r>
      <w:r w:rsidR="00DA2E2B" w:rsidRPr="00BF1B19">
        <w:fldChar w:fldCharType="separate"/>
      </w:r>
      <w:bookmarkStart w:id="40" w:name="_Toc98334750"/>
      <w:bookmarkStart w:id="41" w:name="_Toc172121811"/>
      <w:bookmarkStart w:id="42" w:name="_Toc191388730"/>
      <w:r w:rsidR="00860B2D">
        <w:instrText>6</w:instrText>
      </w:r>
      <w:r w:rsidR="00DA2E2B" w:rsidRPr="00BF1B19">
        <w:fldChar w:fldCharType="end"/>
      </w:r>
      <w:r w:rsidR="00DA2E2B" w:rsidRPr="00BF1B19">
        <w:tab/>
        <w:instrText>INVESTMENT MANAGER AND SUB-INVESTMENT MANAGER</w:instrText>
      </w:r>
      <w:bookmarkEnd w:id="40"/>
      <w:bookmarkEnd w:id="41"/>
      <w:bookmarkEnd w:id="42"/>
      <w:r w:rsidR="00DA2E2B" w:rsidRPr="00BF1B19">
        <w:instrText xml:space="preserve">" \l 1 </w:instrText>
      </w:r>
      <w:r w:rsidR="00DA2E2B" w:rsidRPr="00BF1B19">
        <w:fldChar w:fldCharType="end"/>
      </w:r>
    </w:p>
    <w:p w14:paraId="38B1AEC5" w14:textId="77777777" w:rsidR="00E17641" w:rsidRPr="00BF1B19" w:rsidRDefault="00E17641" w:rsidP="005F28D3">
      <w:pPr>
        <w:pStyle w:val="BodyText"/>
        <w:spacing w:after="240"/>
        <w:ind w:left="720"/>
        <w:jc w:val="both"/>
      </w:pPr>
      <w:r w:rsidRPr="00BF1B19">
        <w:t>The Manager may, with prior approval from the Central Bank, delegate its functions to third parties.</w:t>
      </w:r>
    </w:p>
    <w:p w14:paraId="433B5EE4" w14:textId="4B93C0B0" w:rsidR="00E17641" w:rsidRPr="00BF1B19" w:rsidRDefault="00E17641" w:rsidP="005F28D3">
      <w:pPr>
        <w:pStyle w:val="BodyText"/>
        <w:spacing w:after="240"/>
        <w:ind w:left="720"/>
        <w:jc w:val="both"/>
      </w:pPr>
      <w:r w:rsidRPr="00BF1B19">
        <w:t>The Manager has appointed Nanjia Capital Limited as Investment Manager of the Fund. Under the terms of the Investment Management</w:t>
      </w:r>
      <w:r w:rsidR="00973568" w:rsidRPr="00BF1B19">
        <w:t xml:space="preserve"> and Distribution</w:t>
      </w:r>
      <w:r w:rsidRPr="00BF1B19">
        <w:t xml:space="preserve"> Agreement</w:t>
      </w:r>
      <w:r w:rsidR="00973568" w:rsidRPr="00BF1B19">
        <w:t>,</w:t>
      </w:r>
      <w:r w:rsidRPr="00BF1B19">
        <w:t xml:space="preserve"> the Investment Manager is responsible, subject to the overall supervision and control of the Manager, for managing the assets and investments of the ICAV in accordance with the investment objective and policies of each Fund. The fees of the Investment Manager are payable by the Fund and are set out later in this document. </w:t>
      </w:r>
      <w:r w:rsidR="00973568" w:rsidRPr="00BF1B19">
        <w:t xml:space="preserve">Nanjia Capital Limited is regulated and authorised in Hong Kong by the Securities and </w:t>
      </w:r>
      <w:r w:rsidR="00973568" w:rsidRPr="007A3982">
        <w:t xml:space="preserve">Futures </w:t>
      </w:r>
      <w:r w:rsidR="00534563" w:rsidRPr="005D0221">
        <w:t xml:space="preserve">Commission </w:t>
      </w:r>
      <w:r w:rsidR="00534563" w:rsidRPr="0074751A">
        <w:t>(“</w:t>
      </w:r>
      <w:proofErr w:type="spellStart"/>
      <w:r w:rsidR="00534563" w:rsidRPr="0074751A">
        <w:rPr>
          <w:b/>
          <w:bCs/>
        </w:rPr>
        <w:t>SFC</w:t>
      </w:r>
      <w:proofErr w:type="spellEnd"/>
      <w:r w:rsidR="00534563" w:rsidRPr="0074751A">
        <w:t xml:space="preserve">”) </w:t>
      </w:r>
      <w:r w:rsidR="00534563" w:rsidRPr="005D0221">
        <w:t xml:space="preserve">to undertake Type </w:t>
      </w:r>
      <w:r w:rsidR="00534563" w:rsidRPr="0074751A">
        <w:t xml:space="preserve">1 (dealing in securities) and Type </w:t>
      </w:r>
      <w:r w:rsidR="00534563" w:rsidRPr="005D0221">
        <w:t>9 (asset management) regulated activit</w:t>
      </w:r>
      <w:r w:rsidR="00534563" w:rsidRPr="0074751A">
        <w:t>ies</w:t>
      </w:r>
      <w:r w:rsidR="00534563" w:rsidRPr="005D0221">
        <w:t xml:space="preserve"> under the conditions that </w:t>
      </w:r>
      <w:r w:rsidR="00534563" w:rsidRPr="0074751A">
        <w:t>(</w:t>
      </w:r>
      <w:proofErr w:type="spellStart"/>
      <w:r w:rsidR="00534563" w:rsidRPr="0074751A">
        <w:t>i</w:t>
      </w:r>
      <w:proofErr w:type="spellEnd"/>
      <w:r w:rsidR="00534563" w:rsidRPr="0074751A">
        <w:t xml:space="preserve">) </w:t>
      </w:r>
      <w:r w:rsidR="00534563" w:rsidRPr="005D0221">
        <w:t>it shall only provide services to professional investors (as defined in the Hong Kong Securities and Futures Ordinance (Cap 571) (“</w:t>
      </w:r>
      <w:r w:rsidR="00534563" w:rsidRPr="005D0221">
        <w:rPr>
          <w:b/>
        </w:rPr>
        <w:t>SFO</w:t>
      </w:r>
      <w:r w:rsidR="00534563" w:rsidRPr="005D0221">
        <w:t>”) and its subsidiary legislation</w:t>
      </w:r>
      <w:r w:rsidR="00534563" w:rsidRPr="0074751A">
        <w:t>), (ii)</w:t>
      </w:r>
      <w:r w:rsidR="00534563" w:rsidRPr="005D0221">
        <w:t xml:space="preserve"> it shall not hold client assets (the terms “hold” and “client assets” as defined under the SFO</w:t>
      </w:r>
      <w:r w:rsidR="00534563" w:rsidRPr="0074751A">
        <w:t xml:space="preserve">), and (iii) for Type 1 regulated activity, it only communicates offers to effect dealing in securities or makes offers to deal in securities through another intermediary or financial institution that is licensed and/or registered with the </w:t>
      </w:r>
      <w:proofErr w:type="spellStart"/>
      <w:r w:rsidR="00534563" w:rsidRPr="0074751A">
        <w:t>SFC</w:t>
      </w:r>
      <w:proofErr w:type="spellEnd"/>
      <w:r w:rsidR="00534563" w:rsidRPr="0074751A">
        <w:t xml:space="preserve"> for Type 1 regulated activity, or authorities or organizations that perform similar functions and/or regulate banking or other financial services</w:t>
      </w:r>
      <w:r w:rsidR="00973568" w:rsidRPr="00BF1B19">
        <w:t>.</w:t>
      </w:r>
    </w:p>
    <w:p w14:paraId="3500FD5D" w14:textId="29562B90" w:rsidR="00E17641" w:rsidRPr="00BF1B19" w:rsidRDefault="00E17641" w:rsidP="005F28D3">
      <w:pPr>
        <w:pStyle w:val="BodyText"/>
        <w:spacing w:after="240"/>
        <w:ind w:left="720"/>
        <w:jc w:val="both"/>
      </w:pPr>
      <w:r w:rsidRPr="00BF1B19">
        <w:t xml:space="preserve">The Investment Manager may, in accordance with the requirements of the Central Bank, appoint one or more sub-investment managers to whom it may delegate all or part of the </w:t>
      </w:r>
      <w:proofErr w:type="gramStart"/>
      <w:r w:rsidRPr="00BF1B19">
        <w:t>day to day</w:t>
      </w:r>
      <w:proofErr w:type="gramEnd"/>
      <w:r w:rsidRPr="00BF1B19">
        <w:t xml:space="preserve"> conduct of its investment management responsibilities in respect of any Funds. The Investment Manager has appointed </w:t>
      </w:r>
      <w:proofErr w:type="spellStart"/>
      <w:r w:rsidRPr="00BF1B19">
        <w:t>WaterValley</w:t>
      </w:r>
      <w:proofErr w:type="spellEnd"/>
      <w:r w:rsidR="005945A7" w:rsidRPr="00BF1B19">
        <w:t xml:space="preserve"> Capital Management (HK) Limited</w:t>
      </w:r>
      <w:r w:rsidRPr="00BF1B19">
        <w:t xml:space="preserve"> as Sub-Investment Manager</w:t>
      </w:r>
      <w:r w:rsidR="007D56A1" w:rsidRPr="00BF1B19">
        <w:t xml:space="preserve"> and has delegated all of the </w:t>
      </w:r>
      <w:proofErr w:type="gramStart"/>
      <w:r w:rsidR="007D56A1" w:rsidRPr="00BF1B19">
        <w:t>day to day</w:t>
      </w:r>
      <w:proofErr w:type="gramEnd"/>
      <w:r w:rsidR="007D56A1" w:rsidRPr="00BF1B19">
        <w:t xml:space="preserve"> </w:t>
      </w:r>
      <w:r w:rsidR="001A49D4" w:rsidRPr="00BF1B19">
        <w:t xml:space="preserve">conduct of its </w:t>
      </w:r>
      <w:r w:rsidR="007D56A1" w:rsidRPr="00BF1B19">
        <w:t xml:space="preserve">investment management responsibilities to the </w:t>
      </w:r>
      <w:r w:rsidR="001A49D4" w:rsidRPr="00BF1B19">
        <w:t>Sub-Investment Manager</w:t>
      </w:r>
      <w:r w:rsidRPr="00BF1B19">
        <w:t xml:space="preserve">. </w:t>
      </w:r>
      <w:bookmarkStart w:id="43" w:name="OLE_LINK4"/>
      <w:bookmarkStart w:id="44" w:name="OLE_LINK5"/>
      <w:bookmarkStart w:id="45" w:name="OLE_LINK6"/>
      <w:proofErr w:type="spellStart"/>
      <w:r w:rsidRPr="00BF1B19">
        <w:t>WaterValley</w:t>
      </w:r>
      <w:proofErr w:type="spellEnd"/>
      <w:r w:rsidR="00D360CB" w:rsidRPr="00BF1B19">
        <w:t xml:space="preserve"> </w:t>
      </w:r>
      <w:r w:rsidR="005945A7" w:rsidRPr="00BF1B19">
        <w:t xml:space="preserve">Capital Management (HK) Limited </w:t>
      </w:r>
      <w:r w:rsidRPr="00BF1B19">
        <w:t xml:space="preserve">is a quantitative investment manager that offers </w:t>
      </w:r>
      <w:r w:rsidR="009311FC" w:rsidRPr="00BF1B19">
        <w:t xml:space="preserve">global </w:t>
      </w:r>
      <w:r w:rsidRPr="00BF1B19">
        <w:t>quantitative</w:t>
      </w:r>
      <w:r w:rsidR="009311FC" w:rsidRPr="00BF1B19">
        <w:t xml:space="preserve"> relative-value</w:t>
      </w:r>
      <w:r w:rsidRPr="00BF1B19">
        <w:t xml:space="preserve"> strategies to investors. </w:t>
      </w:r>
      <w:proofErr w:type="spellStart"/>
      <w:r w:rsidRPr="00BF1B19">
        <w:t>WaterValley</w:t>
      </w:r>
      <w:proofErr w:type="spellEnd"/>
      <w:r w:rsidR="005945A7" w:rsidRPr="00BF1B19">
        <w:t xml:space="preserve"> Capital Management (HK) Limited</w:t>
      </w:r>
      <w:r w:rsidR="00D360CB" w:rsidRPr="00BF1B19">
        <w:t xml:space="preserve"> </w:t>
      </w:r>
      <w:r w:rsidRPr="00BF1B19">
        <w:t>was founded</w:t>
      </w:r>
      <w:r w:rsidR="009311FC" w:rsidRPr="00BF1B19">
        <w:t xml:space="preserve"> and managed</w:t>
      </w:r>
      <w:r w:rsidRPr="00BF1B19">
        <w:t xml:space="preserve"> by </w:t>
      </w:r>
      <w:r w:rsidR="009311FC" w:rsidRPr="00BF1B19">
        <w:t>a group of</w:t>
      </w:r>
      <w:r w:rsidRPr="00BF1B19">
        <w:t xml:space="preserve"> </w:t>
      </w:r>
      <w:r w:rsidR="009311FC" w:rsidRPr="00BF1B19">
        <w:t xml:space="preserve">veteran </w:t>
      </w:r>
      <w:r w:rsidRPr="00BF1B19">
        <w:t xml:space="preserve">investment </w:t>
      </w:r>
      <w:r w:rsidR="009311FC" w:rsidRPr="00BF1B19">
        <w:t>professionals</w:t>
      </w:r>
      <w:r w:rsidRPr="00BF1B19">
        <w:t xml:space="preserve">. </w:t>
      </w:r>
      <w:r w:rsidR="009311FC" w:rsidRPr="00BF1B19">
        <w:t xml:space="preserve"> </w:t>
      </w:r>
      <w:proofErr w:type="spellStart"/>
      <w:r w:rsidRPr="00BF1B19">
        <w:t>WaterValley</w:t>
      </w:r>
      <w:proofErr w:type="spellEnd"/>
      <w:r w:rsidR="005945A7" w:rsidRPr="00BF1B19">
        <w:t xml:space="preserve"> Capital Management (HK) Limited</w:t>
      </w:r>
      <w:r w:rsidR="00D360CB" w:rsidRPr="00BF1B19">
        <w:t xml:space="preserve"> </w:t>
      </w:r>
      <w:r w:rsidRPr="00BF1B19">
        <w:t xml:space="preserve">provides investment management services </w:t>
      </w:r>
      <w:r w:rsidR="009311FC" w:rsidRPr="00BF1B19">
        <w:t xml:space="preserve">to </w:t>
      </w:r>
      <w:r w:rsidRPr="00BF1B19">
        <w:t xml:space="preserve">institutions, family offices and high net worth individuals. </w:t>
      </w:r>
      <w:proofErr w:type="spellStart"/>
      <w:r w:rsidRPr="00BF1B19">
        <w:t>WaterValley</w:t>
      </w:r>
      <w:proofErr w:type="spellEnd"/>
      <w:r w:rsidR="00D360CB" w:rsidRPr="00BF1B19">
        <w:t xml:space="preserve"> </w:t>
      </w:r>
      <w:r w:rsidR="005945A7" w:rsidRPr="00BF1B19">
        <w:t xml:space="preserve">Capital Management (HK) Limited </w:t>
      </w:r>
      <w:r w:rsidRPr="00BF1B19">
        <w:t xml:space="preserve">is regulated and authorised by the Hong Kong Securities and Futures </w:t>
      </w:r>
      <w:r w:rsidR="00552586" w:rsidRPr="00BF1B19">
        <w:t>Commission</w:t>
      </w:r>
      <w:r w:rsidRPr="00BF1B19">
        <w:t>.</w:t>
      </w:r>
    </w:p>
    <w:bookmarkEnd w:id="43"/>
    <w:bookmarkEnd w:id="44"/>
    <w:bookmarkEnd w:id="45"/>
    <w:p w14:paraId="08E979F0" w14:textId="773EBFA9" w:rsidR="00E17641" w:rsidRPr="00BF1B19" w:rsidRDefault="00D90046" w:rsidP="005F28D3">
      <w:pPr>
        <w:pStyle w:val="BodyText"/>
        <w:ind w:left="720"/>
        <w:jc w:val="both"/>
      </w:pPr>
      <w:proofErr w:type="spellStart"/>
      <w:r w:rsidRPr="00BF1B19">
        <w:t>WaterValley</w:t>
      </w:r>
      <w:proofErr w:type="spellEnd"/>
      <w:r w:rsidR="00E17641" w:rsidRPr="00BF1B19">
        <w:t xml:space="preserve"> </w:t>
      </w:r>
      <w:r w:rsidR="00142E0C" w:rsidRPr="00BF1B19">
        <w:t xml:space="preserve">Capital Management (HK) Limited </w:t>
      </w:r>
      <w:r w:rsidR="00E17641" w:rsidRPr="00BF1B19">
        <w:t>fees as Sub-Investment Manager will be paid by the Investment Manager out of the Investment Manager’s fee.</w:t>
      </w:r>
    </w:p>
    <w:p w14:paraId="3D4BBDCA" w14:textId="77777777" w:rsidR="00521267" w:rsidRPr="00BF1B19" w:rsidRDefault="00521267" w:rsidP="005F28D3">
      <w:pPr>
        <w:pStyle w:val="BodyText"/>
        <w:ind w:left="720"/>
        <w:jc w:val="both"/>
      </w:pPr>
    </w:p>
    <w:p w14:paraId="5C27C93B" w14:textId="789218D8" w:rsidR="00E17641" w:rsidRPr="00BF1B19" w:rsidRDefault="00E17641" w:rsidP="00745689">
      <w:pPr>
        <w:pStyle w:val="Level1"/>
        <w:keepNext/>
        <w:tabs>
          <w:tab w:val="clear" w:pos="851"/>
        </w:tabs>
        <w:spacing w:after="180"/>
        <w:ind w:left="720" w:hanging="720"/>
      </w:pPr>
      <w:r w:rsidRPr="00BF1B19">
        <w:rPr>
          <w:rStyle w:val="Level1asHeadingtext"/>
        </w:rPr>
        <w:t>RISK FACTORS</w:t>
      </w:r>
      <w:bookmarkStart w:id="46" w:name="_NN8"/>
      <w:bookmarkEnd w:id="46"/>
      <w:r w:rsidR="00DA2E2B" w:rsidRPr="00BF1B19">
        <w:fldChar w:fldCharType="begin"/>
      </w:r>
      <w:r w:rsidR="00DA2E2B" w:rsidRPr="00BF1B19">
        <w:instrText xml:space="preserve"> TC "</w:instrText>
      </w:r>
      <w:r w:rsidR="00DA2E2B" w:rsidRPr="00BF1B19">
        <w:fldChar w:fldCharType="begin"/>
      </w:r>
      <w:r w:rsidR="00DA2E2B" w:rsidRPr="00BF1B19">
        <w:instrText xml:space="preserve"> REF _NN8\r \h </w:instrText>
      </w:r>
      <w:r w:rsidR="00D8760C" w:rsidRPr="00BF1B19">
        <w:instrText xml:space="preserve"> \* MERGEFORMAT </w:instrText>
      </w:r>
      <w:r w:rsidR="00DA2E2B" w:rsidRPr="00BF1B19">
        <w:fldChar w:fldCharType="separate"/>
      </w:r>
      <w:bookmarkStart w:id="47" w:name="_Toc98334751"/>
      <w:bookmarkStart w:id="48" w:name="_Toc172121812"/>
      <w:bookmarkStart w:id="49" w:name="_Toc191388731"/>
      <w:r w:rsidR="00860B2D">
        <w:instrText>7</w:instrText>
      </w:r>
      <w:r w:rsidR="00DA2E2B" w:rsidRPr="00BF1B19">
        <w:fldChar w:fldCharType="end"/>
      </w:r>
      <w:r w:rsidR="00DA2E2B" w:rsidRPr="00BF1B19">
        <w:tab/>
        <w:instrText>RISK FACTORS</w:instrText>
      </w:r>
      <w:bookmarkEnd w:id="47"/>
      <w:bookmarkEnd w:id="48"/>
      <w:bookmarkEnd w:id="49"/>
      <w:r w:rsidR="00DA2E2B" w:rsidRPr="00BF1B19">
        <w:instrText xml:space="preserve">" \l 1 </w:instrText>
      </w:r>
      <w:r w:rsidR="00DA2E2B" w:rsidRPr="00BF1B19">
        <w:fldChar w:fldCharType="end"/>
      </w:r>
    </w:p>
    <w:p w14:paraId="7D5FB3DF" w14:textId="75FA48F7" w:rsidR="00E17641" w:rsidRPr="00BF1B19" w:rsidRDefault="00E17641" w:rsidP="005F28D3">
      <w:pPr>
        <w:pStyle w:val="BodyText"/>
        <w:ind w:left="720"/>
        <w:jc w:val="both"/>
      </w:pPr>
      <w:r w:rsidRPr="00BF1B19">
        <w:t xml:space="preserve">The risk factors under the section entitled </w:t>
      </w:r>
      <w:r w:rsidR="00E91017" w:rsidRPr="00BF1B19">
        <w:t>“</w:t>
      </w:r>
      <w:r w:rsidRPr="00BF1B19">
        <w:t>Risk Factors</w:t>
      </w:r>
      <w:r w:rsidR="00E91017" w:rsidRPr="00BF1B19">
        <w:t>”</w:t>
      </w:r>
      <w:r w:rsidRPr="00BF1B19">
        <w:t xml:space="preserve"> in the Prospectus apply to this Fund. Prospective investors should review these carefully and raise any questions they have with their advisers.</w:t>
      </w:r>
    </w:p>
    <w:p w14:paraId="3DD428FC" w14:textId="77777777" w:rsidR="00B97564" w:rsidRPr="00BF1B19" w:rsidRDefault="00B97564" w:rsidP="005F28D3">
      <w:pPr>
        <w:pStyle w:val="BodyText"/>
        <w:ind w:left="720"/>
        <w:jc w:val="both"/>
      </w:pPr>
    </w:p>
    <w:p w14:paraId="29A03439" w14:textId="0E2DB040" w:rsidR="00E17641" w:rsidRPr="00BF1B19" w:rsidRDefault="00E17641" w:rsidP="005F28D3">
      <w:pPr>
        <w:pStyle w:val="BodyText"/>
        <w:spacing w:after="240"/>
        <w:ind w:left="720"/>
        <w:jc w:val="both"/>
        <w:rPr>
          <w:sz w:val="17"/>
        </w:rPr>
      </w:pPr>
      <w:r w:rsidRPr="00BF1B19">
        <w:t>Although this is not an exhaustive description of the risks which may apply to an investment in the Fund, prospective investors’ attention is particularly drawn to the following risks, set out in the Prospectus:</w:t>
      </w:r>
    </w:p>
    <w:p w14:paraId="02002FD3" w14:textId="77777777" w:rsidR="00E17641" w:rsidRPr="00BF1B19" w:rsidRDefault="00E17641" w:rsidP="00745689">
      <w:pPr>
        <w:pStyle w:val="BodyText"/>
        <w:numPr>
          <w:ilvl w:val="0"/>
          <w:numId w:val="2"/>
        </w:numPr>
        <w:spacing w:before="3"/>
        <w:ind w:left="1276" w:hanging="567"/>
        <w:jc w:val="both"/>
      </w:pPr>
      <w:r w:rsidRPr="00BF1B19">
        <w:t>Investment risk</w:t>
      </w:r>
    </w:p>
    <w:p w14:paraId="5C377636" w14:textId="77777777" w:rsidR="00E17641" w:rsidRPr="00BF1B19" w:rsidRDefault="00E17641" w:rsidP="00745689">
      <w:pPr>
        <w:pStyle w:val="BodyText"/>
        <w:numPr>
          <w:ilvl w:val="0"/>
          <w:numId w:val="2"/>
        </w:numPr>
        <w:spacing w:before="3"/>
        <w:ind w:left="1276" w:hanging="567"/>
        <w:jc w:val="both"/>
      </w:pPr>
      <w:r w:rsidRPr="00BF1B19">
        <w:t>Market risk</w:t>
      </w:r>
    </w:p>
    <w:p w14:paraId="6FF3E181" w14:textId="77777777" w:rsidR="00B421FF" w:rsidRPr="00BF1B19" w:rsidRDefault="00E17641" w:rsidP="00745689">
      <w:pPr>
        <w:pStyle w:val="BodyText"/>
        <w:numPr>
          <w:ilvl w:val="0"/>
          <w:numId w:val="2"/>
        </w:numPr>
        <w:spacing w:before="2"/>
        <w:ind w:left="1276" w:hanging="567"/>
        <w:jc w:val="both"/>
      </w:pPr>
      <w:r w:rsidRPr="00BF1B19">
        <w:t xml:space="preserve">Counterparty risk and conflict of interest risk </w:t>
      </w:r>
    </w:p>
    <w:p w14:paraId="56BED72D" w14:textId="193DB921" w:rsidR="00E17641" w:rsidRPr="00BF1B19" w:rsidRDefault="00E17641" w:rsidP="00745689">
      <w:pPr>
        <w:pStyle w:val="BodyText"/>
        <w:numPr>
          <w:ilvl w:val="0"/>
          <w:numId w:val="2"/>
        </w:numPr>
        <w:spacing w:before="2"/>
        <w:ind w:left="1276" w:hanging="567"/>
        <w:jc w:val="both"/>
      </w:pPr>
      <w:r w:rsidRPr="00BF1B19">
        <w:t>Credit risk</w:t>
      </w:r>
    </w:p>
    <w:p w14:paraId="7251B6DB" w14:textId="77777777" w:rsidR="00E17641" w:rsidRPr="00BF1B19" w:rsidRDefault="00E17641" w:rsidP="00745689">
      <w:pPr>
        <w:pStyle w:val="BodyText"/>
        <w:numPr>
          <w:ilvl w:val="0"/>
          <w:numId w:val="2"/>
        </w:numPr>
        <w:ind w:left="1276" w:hanging="567"/>
        <w:jc w:val="both"/>
      </w:pPr>
      <w:r w:rsidRPr="00BF1B19">
        <w:t>Portfolio currency risk</w:t>
      </w:r>
    </w:p>
    <w:p w14:paraId="28DE002E" w14:textId="77777777" w:rsidR="00041A5E" w:rsidRPr="00BF1B19" w:rsidRDefault="00E17641" w:rsidP="00745689">
      <w:pPr>
        <w:pStyle w:val="BodyText"/>
        <w:numPr>
          <w:ilvl w:val="0"/>
          <w:numId w:val="2"/>
        </w:numPr>
        <w:ind w:left="1276" w:hanging="567"/>
        <w:jc w:val="both"/>
      </w:pPr>
      <w:r w:rsidRPr="00BF1B19">
        <w:t xml:space="preserve">Portfolio, regulatory, settlement and sub-custodian risk </w:t>
      </w:r>
    </w:p>
    <w:p w14:paraId="43E0E3C6" w14:textId="6750FBEF" w:rsidR="00E17641" w:rsidRPr="00BF1B19" w:rsidRDefault="00E17641" w:rsidP="00745689">
      <w:pPr>
        <w:pStyle w:val="BodyText"/>
        <w:numPr>
          <w:ilvl w:val="0"/>
          <w:numId w:val="2"/>
        </w:numPr>
        <w:ind w:left="1276" w:hanging="567"/>
        <w:jc w:val="both"/>
      </w:pPr>
      <w:r w:rsidRPr="00BF1B19">
        <w:lastRenderedPageBreak/>
        <w:t>Legal and regulatory risks</w:t>
      </w:r>
    </w:p>
    <w:p w14:paraId="41F2C35E" w14:textId="77777777" w:rsidR="00B421FF" w:rsidRPr="00BF1B19" w:rsidRDefault="00E17641" w:rsidP="00745689">
      <w:pPr>
        <w:pStyle w:val="BodyText"/>
        <w:numPr>
          <w:ilvl w:val="0"/>
          <w:numId w:val="2"/>
        </w:numPr>
        <w:ind w:left="1276" w:hanging="567"/>
        <w:jc w:val="both"/>
      </w:pPr>
      <w:r w:rsidRPr="00BF1B19">
        <w:t xml:space="preserve">Investing in fixed income securities </w:t>
      </w:r>
    </w:p>
    <w:p w14:paraId="258EF248" w14:textId="48D58241" w:rsidR="00E17641" w:rsidRPr="00BF1B19" w:rsidRDefault="00E17641" w:rsidP="00745689">
      <w:pPr>
        <w:pStyle w:val="BodyText"/>
        <w:numPr>
          <w:ilvl w:val="0"/>
          <w:numId w:val="2"/>
        </w:numPr>
        <w:ind w:left="1276" w:hanging="567"/>
        <w:jc w:val="both"/>
      </w:pPr>
      <w:r w:rsidRPr="00BF1B19">
        <w:t>Debt securities</w:t>
      </w:r>
    </w:p>
    <w:p w14:paraId="50DAD0CB" w14:textId="77777777" w:rsidR="00B421FF" w:rsidRPr="00BF1B19" w:rsidRDefault="00E17641" w:rsidP="00745689">
      <w:pPr>
        <w:pStyle w:val="BodyText"/>
        <w:numPr>
          <w:ilvl w:val="0"/>
          <w:numId w:val="2"/>
        </w:numPr>
        <w:ind w:left="1276" w:hanging="567"/>
        <w:jc w:val="both"/>
      </w:pPr>
      <w:r w:rsidRPr="00BF1B19">
        <w:t xml:space="preserve">Equity market risk (this is relevant at index level: no individual equity securities held) </w:t>
      </w:r>
    </w:p>
    <w:p w14:paraId="77F17557" w14:textId="247C5522" w:rsidR="00E17641" w:rsidRPr="00BF1B19" w:rsidRDefault="00E17641" w:rsidP="00745689">
      <w:pPr>
        <w:pStyle w:val="BodyText"/>
        <w:numPr>
          <w:ilvl w:val="0"/>
          <w:numId w:val="2"/>
        </w:numPr>
        <w:ind w:left="1276" w:hanging="567"/>
        <w:jc w:val="both"/>
      </w:pPr>
      <w:r w:rsidRPr="00BF1B19">
        <w:t>Investment grade debt securities</w:t>
      </w:r>
    </w:p>
    <w:p w14:paraId="052F8BDC" w14:textId="77777777" w:rsidR="00E17641" w:rsidRPr="00BF1B19" w:rsidRDefault="00E17641" w:rsidP="00745689">
      <w:pPr>
        <w:pStyle w:val="BodyText"/>
        <w:numPr>
          <w:ilvl w:val="0"/>
          <w:numId w:val="2"/>
        </w:numPr>
        <w:ind w:left="1276" w:hanging="567"/>
        <w:jc w:val="both"/>
      </w:pPr>
      <w:r w:rsidRPr="00BF1B19">
        <w:t>Emerging market risk</w:t>
      </w:r>
    </w:p>
    <w:p w14:paraId="707B64C3" w14:textId="77777777" w:rsidR="00B421FF" w:rsidRPr="00BF1B19" w:rsidRDefault="00E17641" w:rsidP="00745689">
      <w:pPr>
        <w:pStyle w:val="BodyText"/>
        <w:numPr>
          <w:ilvl w:val="0"/>
          <w:numId w:val="2"/>
        </w:numPr>
        <w:ind w:left="1276" w:hanging="567"/>
        <w:jc w:val="both"/>
      </w:pPr>
      <w:r w:rsidRPr="00BF1B19">
        <w:t xml:space="preserve">Derivatives and techniques and instruments risk </w:t>
      </w:r>
    </w:p>
    <w:p w14:paraId="0C153724" w14:textId="534A9D25" w:rsidR="00E17641" w:rsidRPr="00BF1B19" w:rsidRDefault="00E17641" w:rsidP="00745689">
      <w:pPr>
        <w:pStyle w:val="BodyText"/>
        <w:numPr>
          <w:ilvl w:val="0"/>
          <w:numId w:val="2"/>
        </w:numPr>
        <w:ind w:left="1276" w:hanging="567"/>
        <w:jc w:val="both"/>
      </w:pPr>
      <w:r w:rsidRPr="00BF1B19">
        <w:t>Clearing risk</w:t>
      </w:r>
    </w:p>
    <w:p w14:paraId="24F106BE" w14:textId="77777777" w:rsidR="00E17641" w:rsidRPr="00BF1B19" w:rsidRDefault="00E17641" w:rsidP="00745689">
      <w:pPr>
        <w:pStyle w:val="BodyText"/>
        <w:numPr>
          <w:ilvl w:val="0"/>
          <w:numId w:val="2"/>
        </w:numPr>
        <w:ind w:left="1276" w:hanging="567"/>
        <w:jc w:val="both"/>
      </w:pPr>
      <w:r w:rsidRPr="00BF1B19">
        <w:t>Liquidity risk</w:t>
      </w:r>
    </w:p>
    <w:p w14:paraId="1D514ED9" w14:textId="77777777" w:rsidR="00B421FF" w:rsidRPr="00BF1B19" w:rsidRDefault="00E17641" w:rsidP="00745689">
      <w:pPr>
        <w:pStyle w:val="BodyText"/>
        <w:numPr>
          <w:ilvl w:val="0"/>
          <w:numId w:val="2"/>
        </w:numPr>
        <w:ind w:left="1276" w:hanging="567"/>
        <w:jc w:val="both"/>
      </w:pPr>
      <w:r w:rsidRPr="00BF1B19">
        <w:t xml:space="preserve">Custody and settlement risk </w:t>
      </w:r>
    </w:p>
    <w:p w14:paraId="4D9C765F" w14:textId="7588D49C" w:rsidR="00E17641" w:rsidRPr="00BF1B19" w:rsidRDefault="00E17641" w:rsidP="00745689">
      <w:pPr>
        <w:pStyle w:val="BodyText"/>
        <w:numPr>
          <w:ilvl w:val="0"/>
          <w:numId w:val="2"/>
        </w:numPr>
        <w:ind w:left="1276" w:hanging="567"/>
        <w:jc w:val="both"/>
      </w:pPr>
      <w:r w:rsidRPr="00BF1B19">
        <w:t>Taxation risk</w:t>
      </w:r>
    </w:p>
    <w:p w14:paraId="06760211" w14:textId="1F55D5DE" w:rsidR="00E17641" w:rsidRPr="00BF1B19" w:rsidRDefault="00E17641" w:rsidP="00745689">
      <w:pPr>
        <w:pStyle w:val="BodyText"/>
        <w:numPr>
          <w:ilvl w:val="0"/>
          <w:numId w:val="2"/>
        </w:numPr>
        <w:ind w:left="1276" w:hanging="567"/>
        <w:jc w:val="both"/>
      </w:pPr>
      <w:r w:rsidRPr="00BF1B19">
        <w:t>Leverage risk</w:t>
      </w:r>
    </w:p>
    <w:p w14:paraId="7959EC65" w14:textId="56069D52" w:rsidR="00142E0C" w:rsidRPr="00BF1B19" w:rsidRDefault="00142E0C" w:rsidP="005F28D3">
      <w:pPr>
        <w:pStyle w:val="BodyText"/>
        <w:numPr>
          <w:ilvl w:val="0"/>
          <w:numId w:val="2"/>
        </w:numPr>
        <w:spacing w:after="240"/>
        <w:ind w:left="1276" w:hanging="567"/>
        <w:jc w:val="both"/>
      </w:pPr>
      <w:r w:rsidRPr="00BF1B19">
        <w:t>Brexit</w:t>
      </w:r>
      <w:r w:rsidR="009E6A78" w:rsidRPr="00BF1B19">
        <w:t xml:space="preserve"> risk</w:t>
      </w:r>
    </w:p>
    <w:p w14:paraId="289C5A0F" w14:textId="202B7161" w:rsidR="00B97564" w:rsidRPr="00BF1B19" w:rsidRDefault="00832F6A" w:rsidP="005F28D3">
      <w:pPr>
        <w:pStyle w:val="BodyText"/>
        <w:spacing w:after="240"/>
        <w:ind w:left="720"/>
        <w:jc w:val="both"/>
      </w:pPr>
      <w:bookmarkStart w:id="50" w:name="_Hlk32847765"/>
      <w:r w:rsidRPr="00BF1B19">
        <w:t xml:space="preserve">Emerging markets exposure </w:t>
      </w:r>
      <w:r w:rsidR="00445CE3" w:rsidRPr="00BF1B19">
        <w:t>is most likely to be</w:t>
      </w:r>
      <w:r w:rsidRPr="00BF1B19">
        <w:t xml:space="preserve"> approximately </w:t>
      </w:r>
      <w:r w:rsidR="00445CE3" w:rsidRPr="00BF1B19">
        <w:t>60</w:t>
      </w:r>
      <w:r w:rsidRPr="00BF1B19">
        <w:t xml:space="preserve">% to </w:t>
      </w:r>
      <w:r w:rsidR="00445CE3" w:rsidRPr="00BF1B19">
        <w:t>70</w:t>
      </w:r>
      <w:r w:rsidRPr="00BF1B19">
        <w:t>% of t</w:t>
      </w:r>
      <w:r w:rsidR="005A5F96" w:rsidRPr="00BF1B19">
        <w:t>he Net Asset Value of the Fund.</w:t>
      </w:r>
    </w:p>
    <w:bookmarkEnd w:id="50"/>
    <w:p w14:paraId="45A4FF16" w14:textId="026A9825" w:rsidR="00B97564" w:rsidRPr="00BF1B19" w:rsidRDefault="00E17641" w:rsidP="005F28D3">
      <w:pPr>
        <w:pStyle w:val="BodyText"/>
        <w:spacing w:after="240"/>
        <w:ind w:left="720"/>
        <w:jc w:val="both"/>
      </w:pPr>
      <w:r w:rsidRPr="00BF1B19">
        <w:t xml:space="preserve">The Fund may be exposed to </w:t>
      </w:r>
      <w:r w:rsidR="001E5C41" w:rsidRPr="00BF1B19">
        <w:t>e</w:t>
      </w:r>
      <w:r w:rsidRPr="00BF1B19">
        <w:t xml:space="preserve">ntities </w:t>
      </w:r>
      <w:r w:rsidR="00B277DE" w:rsidRPr="00BF1B19">
        <w:t>w</w:t>
      </w:r>
      <w:r w:rsidRPr="00BF1B19">
        <w:t xml:space="preserve">hich </w:t>
      </w:r>
      <w:r w:rsidR="00B277DE" w:rsidRPr="00BF1B19">
        <w:t>u</w:t>
      </w:r>
      <w:r w:rsidRPr="00BF1B19">
        <w:t xml:space="preserve">se </w:t>
      </w:r>
      <w:r w:rsidR="00B277DE" w:rsidRPr="00BF1B19">
        <w:t>m</w:t>
      </w:r>
      <w:r w:rsidRPr="00BF1B19">
        <w:t xml:space="preserve">argin </w:t>
      </w:r>
      <w:r w:rsidR="00B277DE" w:rsidRPr="00BF1B19">
        <w:t>f</w:t>
      </w:r>
      <w:r w:rsidRPr="00BF1B19">
        <w:t xml:space="preserve">unding and </w:t>
      </w:r>
      <w:r w:rsidR="00B277DE" w:rsidRPr="00BF1B19">
        <w:t>l</w:t>
      </w:r>
      <w:r w:rsidRPr="00BF1B19">
        <w:t>everage</w:t>
      </w:r>
      <w:r w:rsidR="00521267" w:rsidRPr="00BF1B19">
        <w:t>.</w:t>
      </w:r>
    </w:p>
    <w:p w14:paraId="412AF6B3" w14:textId="2419C0C9" w:rsidR="00E17641" w:rsidRPr="00BF1B19" w:rsidRDefault="002F1C82" w:rsidP="00745689">
      <w:pPr>
        <w:pStyle w:val="Level1"/>
        <w:keepNext/>
        <w:tabs>
          <w:tab w:val="clear" w:pos="851"/>
        </w:tabs>
        <w:ind w:left="720" w:hanging="720"/>
      </w:pPr>
      <w:r w:rsidRPr="00BF1B19">
        <w:rPr>
          <w:rStyle w:val="Level1asHeadingtext"/>
        </w:rPr>
        <w:t>DIVIDEND POLICY</w:t>
      </w:r>
      <w:bookmarkStart w:id="51" w:name="_NN9"/>
      <w:bookmarkEnd w:id="51"/>
      <w:r w:rsidR="00DA2E2B" w:rsidRPr="00BF1B19">
        <w:fldChar w:fldCharType="begin"/>
      </w:r>
      <w:r w:rsidR="00DA2E2B" w:rsidRPr="00BF1B19">
        <w:instrText xml:space="preserve"> TC "</w:instrText>
      </w:r>
      <w:r w:rsidR="00DA2E2B" w:rsidRPr="00BF1B19">
        <w:fldChar w:fldCharType="begin"/>
      </w:r>
      <w:r w:rsidR="00DA2E2B" w:rsidRPr="00BF1B19">
        <w:instrText xml:space="preserve"> REF _NN9\r \h </w:instrText>
      </w:r>
      <w:r w:rsidR="00D8760C" w:rsidRPr="00BF1B19">
        <w:instrText xml:space="preserve"> \* MERGEFORMAT </w:instrText>
      </w:r>
      <w:r w:rsidR="00DA2E2B" w:rsidRPr="00BF1B19">
        <w:fldChar w:fldCharType="separate"/>
      </w:r>
      <w:bookmarkStart w:id="52" w:name="_Toc98334752"/>
      <w:bookmarkStart w:id="53" w:name="_Toc172121813"/>
      <w:bookmarkStart w:id="54" w:name="_Toc191388732"/>
      <w:r w:rsidR="00860B2D">
        <w:instrText>8</w:instrText>
      </w:r>
      <w:r w:rsidR="00DA2E2B" w:rsidRPr="00BF1B19">
        <w:fldChar w:fldCharType="end"/>
      </w:r>
      <w:r w:rsidR="00DA2E2B" w:rsidRPr="00BF1B19">
        <w:tab/>
        <w:instrText>DIVIDEND POLICY</w:instrText>
      </w:r>
      <w:bookmarkEnd w:id="52"/>
      <w:bookmarkEnd w:id="53"/>
      <w:bookmarkEnd w:id="54"/>
      <w:r w:rsidR="00DA2E2B" w:rsidRPr="00BF1B19">
        <w:instrText xml:space="preserve">" \l 1 </w:instrText>
      </w:r>
      <w:r w:rsidR="00DA2E2B" w:rsidRPr="00BF1B19">
        <w:fldChar w:fldCharType="end"/>
      </w:r>
    </w:p>
    <w:p w14:paraId="6B6ED674" w14:textId="2A754A5D" w:rsidR="00EC1C43" w:rsidRPr="00BF1B19" w:rsidRDefault="00E17641" w:rsidP="005F28D3">
      <w:pPr>
        <w:pStyle w:val="BodyText"/>
        <w:spacing w:after="240"/>
        <w:ind w:left="720"/>
        <w:jc w:val="both"/>
      </w:pPr>
      <w:r w:rsidRPr="00BF1B19">
        <w:t>It is not intended that any Distributing Shares will be issued and therefore no dividends will be distributed.</w:t>
      </w:r>
    </w:p>
    <w:p w14:paraId="07399BB8" w14:textId="701F8050" w:rsidR="00E17641" w:rsidRPr="00BF1B19" w:rsidRDefault="00E17641" w:rsidP="00745689">
      <w:pPr>
        <w:pStyle w:val="Level1"/>
        <w:keepNext/>
        <w:tabs>
          <w:tab w:val="clear" w:pos="851"/>
        </w:tabs>
        <w:ind w:left="720" w:hanging="720"/>
      </w:pPr>
      <w:r w:rsidRPr="00BF1B19">
        <w:rPr>
          <w:rStyle w:val="Level1asHeadingtext"/>
        </w:rPr>
        <w:t>TAX STATUS</w:t>
      </w:r>
      <w:bookmarkStart w:id="55" w:name="_NN10"/>
      <w:bookmarkEnd w:id="55"/>
      <w:r w:rsidR="00DA2E2B" w:rsidRPr="00BF1B19">
        <w:fldChar w:fldCharType="begin"/>
      </w:r>
      <w:r w:rsidR="00DA2E2B" w:rsidRPr="00BF1B19">
        <w:instrText xml:space="preserve"> TC "</w:instrText>
      </w:r>
      <w:r w:rsidR="00DA2E2B" w:rsidRPr="00BF1B19">
        <w:fldChar w:fldCharType="begin"/>
      </w:r>
      <w:r w:rsidR="00DA2E2B" w:rsidRPr="00BF1B19">
        <w:instrText xml:space="preserve"> REF _NN10\r \h </w:instrText>
      </w:r>
      <w:r w:rsidR="00D8760C" w:rsidRPr="00BF1B19">
        <w:instrText xml:space="preserve"> \* MERGEFORMAT </w:instrText>
      </w:r>
      <w:r w:rsidR="00DA2E2B" w:rsidRPr="00BF1B19">
        <w:fldChar w:fldCharType="separate"/>
      </w:r>
      <w:bookmarkStart w:id="56" w:name="_Toc98334753"/>
      <w:bookmarkStart w:id="57" w:name="_Toc172121814"/>
      <w:bookmarkStart w:id="58" w:name="_Toc191388733"/>
      <w:r w:rsidR="00860B2D">
        <w:instrText>9</w:instrText>
      </w:r>
      <w:r w:rsidR="00DA2E2B" w:rsidRPr="00BF1B19">
        <w:fldChar w:fldCharType="end"/>
      </w:r>
      <w:r w:rsidR="00DA2E2B" w:rsidRPr="00BF1B19">
        <w:tab/>
        <w:instrText>TAX STATUS</w:instrText>
      </w:r>
      <w:bookmarkEnd w:id="56"/>
      <w:bookmarkEnd w:id="57"/>
      <w:bookmarkEnd w:id="58"/>
      <w:r w:rsidR="00DA2E2B" w:rsidRPr="00BF1B19">
        <w:instrText xml:space="preserve">" \l 1 </w:instrText>
      </w:r>
      <w:r w:rsidR="00DA2E2B" w:rsidRPr="00BF1B19">
        <w:fldChar w:fldCharType="end"/>
      </w:r>
    </w:p>
    <w:p w14:paraId="4817A607" w14:textId="2BCCFBE9" w:rsidR="00E17641" w:rsidRPr="00BF1B19" w:rsidRDefault="00E17641" w:rsidP="005F28D3">
      <w:pPr>
        <w:pStyle w:val="BodyText"/>
        <w:ind w:left="720"/>
      </w:pPr>
      <w:r w:rsidRPr="00BF1B19">
        <w:t>Please see the section entitled “Taxation”</w:t>
      </w:r>
      <w:r w:rsidR="00CD0E28" w:rsidRPr="00BF1B19">
        <w:t xml:space="preserve"> in the Prospectus</w:t>
      </w:r>
      <w:r w:rsidRPr="00BF1B19">
        <w:t>.</w:t>
      </w:r>
    </w:p>
    <w:p w14:paraId="4E493F9F" w14:textId="77777777" w:rsidR="00E17641" w:rsidRPr="00BF1B19" w:rsidRDefault="00E17641" w:rsidP="00745689">
      <w:pPr>
        <w:pStyle w:val="BodyText"/>
        <w:ind w:left="720"/>
        <w:rPr>
          <w:sz w:val="22"/>
        </w:rPr>
      </w:pPr>
    </w:p>
    <w:p w14:paraId="2F9ADDED" w14:textId="7375C58D" w:rsidR="002F1C82" w:rsidRPr="00BF1B19" w:rsidRDefault="00E17641" w:rsidP="00745689">
      <w:pPr>
        <w:pStyle w:val="Level1"/>
        <w:keepNext/>
        <w:tabs>
          <w:tab w:val="clear" w:pos="851"/>
        </w:tabs>
        <w:ind w:left="720" w:hanging="720"/>
      </w:pPr>
      <w:r w:rsidRPr="00BF1B19">
        <w:rPr>
          <w:rStyle w:val="Level1asHeadingtext"/>
        </w:rPr>
        <w:t xml:space="preserve">KEY INFORMATION FOR SUBSCRIBING AND REDEEMING </w:t>
      </w:r>
      <w:bookmarkStart w:id="59" w:name="_NN11"/>
      <w:bookmarkEnd w:id="59"/>
      <w:r w:rsidR="00DA2E2B" w:rsidRPr="00BF1B19">
        <w:fldChar w:fldCharType="begin"/>
      </w:r>
      <w:r w:rsidR="00DA2E2B" w:rsidRPr="00BF1B19">
        <w:instrText xml:space="preserve"> TC "</w:instrText>
      </w:r>
      <w:r w:rsidR="00DA2E2B" w:rsidRPr="00BF1B19">
        <w:fldChar w:fldCharType="begin"/>
      </w:r>
      <w:r w:rsidR="00DA2E2B" w:rsidRPr="00BF1B19">
        <w:instrText xml:space="preserve"> REF _NN11\r \h </w:instrText>
      </w:r>
      <w:r w:rsidR="00D8760C" w:rsidRPr="00BF1B19">
        <w:instrText xml:space="preserve"> \* MERGEFORMAT </w:instrText>
      </w:r>
      <w:r w:rsidR="00DA2E2B" w:rsidRPr="00BF1B19">
        <w:fldChar w:fldCharType="separate"/>
      </w:r>
      <w:bookmarkStart w:id="60" w:name="_Toc98334754"/>
      <w:bookmarkStart w:id="61" w:name="_Toc172121815"/>
      <w:bookmarkStart w:id="62" w:name="_Toc191388734"/>
      <w:r w:rsidR="00860B2D">
        <w:instrText>10</w:instrText>
      </w:r>
      <w:r w:rsidR="00DA2E2B" w:rsidRPr="00BF1B19">
        <w:fldChar w:fldCharType="end"/>
      </w:r>
      <w:r w:rsidR="00DA2E2B" w:rsidRPr="00BF1B19">
        <w:tab/>
        <w:instrText>KEY INFORMATION FOR SUBSCRIBING AND REDEEMING</w:instrText>
      </w:r>
      <w:bookmarkEnd w:id="60"/>
      <w:bookmarkEnd w:id="61"/>
      <w:bookmarkEnd w:id="62"/>
      <w:r w:rsidR="00DA2E2B" w:rsidRPr="00BF1B19">
        <w:instrText xml:space="preserve"> " \l 1 </w:instrText>
      </w:r>
      <w:r w:rsidR="00DA2E2B" w:rsidRPr="00BF1B19">
        <w:fldChar w:fldCharType="end"/>
      </w:r>
    </w:p>
    <w:p w14:paraId="6B1A91DF" w14:textId="19716E22" w:rsidR="00E17641" w:rsidRPr="00BF1B19" w:rsidRDefault="00E17641" w:rsidP="00745689">
      <w:pPr>
        <w:keepNext/>
        <w:spacing w:after="240"/>
        <w:ind w:left="720"/>
      </w:pPr>
      <w:r w:rsidRPr="00BF1B19">
        <w:rPr>
          <w:b/>
        </w:rPr>
        <w:t>Base Currency</w:t>
      </w:r>
    </w:p>
    <w:p w14:paraId="4204D001" w14:textId="77777777" w:rsidR="00E17641" w:rsidRPr="00BF1B19" w:rsidRDefault="00E17641" w:rsidP="005F28D3">
      <w:pPr>
        <w:pStyle w:val="BodyText"/>
        <w:ind w:left="720"/>
        <w:jc w:val="both"/>
      </w:pPr>
      <w:r w:rsidRPr="00BF1B19">
        <w:t xml:space="preserve">The Base Currency of the Fund is US </w:t>
      </w:r>
      <w:proofErr w:type="gramStart"/>
      <w:r w:rsidRPr="00BF1B19">
        <w:t>Dollars</w:t>
      </w:r>
      <w:proofErr w:type="gramEnd"/>
      <w:r w:rsidRPr="00BF1B19">
        <w:t xml:space="preserve"> but investments and Share Classes may be denominated in other currencies.</w:t>
      </w:r>
    </w:p>
    <w:p w14:paraId="6F8635D8" w14:textId="77777777" w:rsidR="00142E0C" w:rsidRPr="00BF1B19" w:rsidRDefault="00142E0C" w:rsidP="00745689">
      <w:pPr>
        <w:ind w:left="720"/>
        <w:rPr>
          <w:b/>
        </w:rPr>
      </w:pPr>
    </w:p>
    <w:p w14:paraId="7069E975" w14:textId="0B2D9A54" w:rsidR="00E17641" w:rsidRPr="00BF1B19" w:rsidRDefault="00E17641" w:rsidP="00745689">
      <w:pPr>
        <w:keepNext/>
        <w:spacing w:after="240"/>
        <w:ind w:left="720"/>
        <w:rPr>
          <w:b/>
        </w:rPr>
      </w:pPr>
      <w:r w:rsidRPr="00BF1B19">
        <w:rPr>
          <w:b/>
        </w:rPr>
        <w:t>Share Classes</w:t>
      </w:r>
    </w:p>
    <w:p w14:paraId="72354ECC" w14:textId="1AA39559" w:rsidR="007B6FA6" w:rsidRPr="00BF1B19" w:rsidRDefault="00E17641" w:rsidP="005F28D3">
      <w:pPr>
        <w:pStyle w:val="BodyText"/>
        <w:ind w:left="720"/>
        <w:jc w:val="both"/>
      </w:pPr>
      <w:r w:rsidRPr="00BF1B19">
        <w:t>The ICAV may issue Shares in each of the Share Classes set out below.</w:t>
      </w:r>
    </w:p>
    <w:p w14:paraId="10A526EA" w14:textId="77777777" w:rsidR="000F4E8E" w:rsidRPr="00BF1B19" w:rsidRDefault="000F4E8E" w:rsidP="005F28D3">
      <w:pPr>
        <w:pStyle w:val="BodyText"/>
        <w:ind w:left="720"/>
        <w:jc w:val="both"/>
        <w:rPr>
          <w:sz w:val="17"/>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1E0" w:firstRow="1" w:lastRow="1" w:firstColumn="1" w:lastColumn="1" w:noHBand="0" w:noVBand="0"/>
      </w:tblPr>
      <w:tblGrid>
        <w:gridCol w:w="1555"/>
        <w:gridCol w:w="1665"/>
        <w:gridCol w:w="1665"/>
        <w:gridCol w:w="1665"/>
        <w:gridCol w:w="1665"/>
        <w:gridCol w:w="1708"/>
      </w:tblGrid>
      <w:tr w:rsidR="00AC1258" w:rsidRPr="00BF1B19" w14:paraId="28C02765" w14:textId="77777777" w:rsidTr="00AC1258">
        <w:trPr>
          <w:cantSplit/>
          <w:tblHeader/>
        </w:trPr>
        <w:tc>
          <w:tcPr>
            <w:tcW w:w="1555" w:type="dxa"/>
            <w:shd w:val="clear" w:color="auto" w:fill="BFBFBF" w:themeFill="background1" w:themeFillShade="BF"/>
          </w:tcPr>
          <w:p w14:paraId="6B988A0D" w14:textId="3F2D487B" w:rsidR="00AC1258" w:rsidRPr="00AC1258" w:rsidRDefault="00AC1258" w:rsidP="00AC1258">
            <w:pPr>
              <w:pStyle w:val="TableParagraph"/>
              <w:spacing w:before="0"/>
              <w:ind w:left="0"/>
              <w:rPr>
                <w:b/>
                <w:bCs/>
              </w:rPr>
            </w:pPr>
            <w:r w:rsidRPr="00AC1258">
              <w:rPr>
                <w:b/>
                <w:bCs/>
              </w:rPr>
              <w:t>Class</w:t>
            </w:r>
          </w:p>
        </w:tc>
        <w:tc>
          <w:tcPr>
            <w:tcW w:w="1665" w:type="dxa"/>
            <w:shd w:val="clear" w:color="auto" w:fill="BFBFBF" w:themeFill="background1" w:themeFillShade="BF"/>
          </w:tcPr>
          <w:p w14:paraId="55F4F6CE" w14:textId="47427D43" w:rsidR="00AC1258" w:rsidRPr="00AC1258" w:rsidRDefault="00AC1258" w:rsidP="00AC1258">
            <w:pPr>
              <w:pStyle w:val="TableParagraph"/>
              <w:spacing w:before="0"/>
              <w:ind w:left="0"/>
              <w:rPr>
                <w:b/>
                <w:bCs/>
              </w:rPr>
            </w:pPr>
            <w:r w:rsidRPr="00AC1258">
              <w:rPr>
                <w:b/>
                <w:bCs/>
              </w:rPr>
              <w:t>F</w:t>
            </w:r>
          </w:p>
        </w:tc>
        <w:tc>
          <w:tcPr>
            <w:tcW w:w="1665" w:type="dxa"/>
            <w:shd w:val="clear" w:color="auto" w:fill="BFBFBF" w:themeFill="background1" w:themeFillShade="BF"/>
          </w:tcPr>
          <w:p w14:paraId="31AD0DD6" w14:textId="5CCC405D" w:rsidR="00AC1258" w:rsidRPr="00AC1258" w:rsidRDefault="00AC1258" w:rsidP="00AC1258">
            <w:pPr>
              <w:pStyle w:val="TableParagraph"/>
              <w:spacing w:before="0"/>
              <w:ind w:left="0"/>
              <w:rPr>
                <w:b/>
                <w:bCs/>
              </w:rPr>
            </w:pPr>
            <w:r w:rsidRPr="00AC1258">
              <w:rPr>
                <w:b/>
                <w:bCs/>
              </w:rPr>
              <w:t>I</w:t>
            </w:r>
          </w:p>
        </w:tc>
        <w:tc>
          <w:tcPr>
            <w:tcW w:w="1665" w:type="dxa"/>
            <w:shd w:val="clear" w:color="auto" w:fill="BFBFBF" w:themeFill="background1" w:themeFillShade="BF"/>
          </w:tcPr>
          <w:p w14:paraId="56F88BC7" w14:textId="22CE2580" w:rsidR="00AC1258" w:rsidRPr="00AC1258" w:rsidRDefault="00AC1258" w:rsidP="00AC1258">
            <w:pPr>
              <w:pStyle w:val="TableParagraph"/>
              <w:spacing w:before="0"/>
              <w:ind w:left="0"/>
              <w:rPr>
                <w:b/>
                <w:bCs/>
              </w:rPr>
            </w:pPr>
            <w:r w:rsidRPr="00AC1258">
              <w:rPr>
                <w:b/>
                <w:bCs/>
              </w:rPr>
              <w:t>S</w:t>
            </w:r>
          </w:p>
        </w:tc>
        <w:tc>
          <w:tcPr>
            <w:tcW w:w="1665" w:type="dxa"/>
            <w:shd w:val="clear" w:color="auto" w:fill="BFBFBF" w:themeFill="background1" w:themeFillShade="BF"/>
          </w:tcPr>
          <w:p w14:paraId="1817449C" w14:textId="598160B0" w:rsidR="00AC1258" w:rsidRPr="00AC1258" w:rsidRDefault="00AC1258" w:rsidP="00AC1258">
            <w:pPr>
              <w:pStyle w:val="TableParagraph"/>
              <w:spacing w:before="0"/>
              <w:ind w:left="0"/>
              <w:rPr>
                <w:b/>
                <w:bCs/>
              </w:rPr>
            </w:pPr>
            <w:r w:rsidRPr="00AC1258">
              <w:rPr>
                <w:b/>
                <w:bCs/>
              </w:rPr>
              <w:t>R</w:t>
            </w:r>
          </w:p>
        </w:tc>
        <w:tc>
          <w:tcPr>
            <w:tcW w:w="1708" w:type="dxa"/>
            <w:shd w:val="clear" w:color="auto" w:fill="BFBFBF" w:themeFill="background1" w:themeFillShade="BF"/>
          </w:tcPr>
          <w:p w14:paraId="4FAFDD0D" w14:textId="53671AD3" w:rsidR="00AC1258" w:rsidRPr="00AC1258" w:rsidRDefault="00AC1258" w:rsidP="00AC1258">
            <w:pPr>
              <w:pStyle w:val="TableParagraph"/>
              <w:spacing w:before="0"/>
              <w:ind w:left="0"/>
              <w:rPr>
                <w:b/>
                <w:bCs/>
              </w:rPr>
            </w:pPr>
            <w:r w:rsidRPr="00AC1258">
              <w:rPr>
                <w:b/>
                <w:bCs/>
              </w:rPr>
              <w:t>J</w:t>
            </w:r>
          </w:p>
        </w:tc>
      </w:tr>
      <w:tr w:rsidR="00E17641" w:rsidRPr="00BF1B19" w14:paraId="4893BF01" w14:textId="77777777" w:rsidTr="00AC1258">
        <w:trPr>
          <w:cantSplit/>
        </w:trPr>
        <w:tc>
          <w:tcPr>
            <w:tcW w:w="1555" w:type="dxa"/>
          </w:tcPr>
          <w:p w14:paraId="3CAD3065" w14:textId="77777777" w:rsidR="00E17641" w:rsidRPr="00BF1B19" w:rsidRDefault="00E17641" w:rsidP="005F28D3">
            <w:pPr>
              <w:pStyle w:val="TableParagraph"/>
              <w:spacing w:before="0" w:after="240"/>
              <w:ind w:left="0"/>
              <w:rPr>
                <w:b/>
              </w:rPr>
            </w:pPr>
            <w:r w:rsidRPr="00BF1B19">
              <w:rPr>
                <w:b/>
              </w:rPr>
              <w:t>Investor Restrictions</w:t>
            </w:r>
          </w:p>
        </w:tc>
        <w:tc>
          <w:tcPr>
            <w:tcW w:w="1665" w:type="dxa"/>
          </w:tcPr>
          <w:p w14:paraId="454A1DB7" w14:textId="5538EA0E" w:rsidR="000E430D" w:rsidRPr="00BF1B19" w:rsidRDefault="00A1648F" w:rsidP="005F28D3">
            <w:pPr>
              <w:pStyle w:val="TableParagraph"/>
              <w:spacing w:before="0" w:after="240"/>
              <w:ind w:left="0"/>
            </w:pPr>
            <w:bookmarkStart w:id="63" w:name="_Hlk32935644"/>
            <w:r w:rsidRPr="00A1648F">
              <w:t xml:space="preserve">Founder share class is only open to certain financial institutions and individual investors who have entered into an agreement with the </w:t>
            </w:r>
            <w:r w:rsidR="002A79D0">
              <w:t xml:space="preserve">Investment </w:t>
            </w:r>
            <w:r w:rsidRPr="00A1648F">
              <w:t>Manager</w:t>
            </w:r>
            <w:r w:rsidR="000E430D" w:rsidRPr="00A1648F">
              <w:t xml:space="preserve">. </w:t>
            </w:r>
            <w:bookmarkEnd w:id="63"/>
          </w:p>
        </w:tc>
        <w:tc>
          <w:tcPr>
            <w:tcW w:w="1665" w:type="dxa"/>
          </w:tcPr>
          <w:p w14:paraId="4762C7AD" w14:textId="77777777" w:rsidR="00E17641" w:rsidRPr="00BF1B19" w:rsidRDefault="00E17641" w:rsidP="005F28D3">
            <w:pPr>
              <w:pStyle w:val="TableParagraph"/>
              <w:spacing w:before="0" w:after="240"/>
              <w:ind w:left="0"/>
            </w:pPr>
            <w:r w:rsidRPr="00BF1B19">
              <w:t>Institutional investors.</w:t>
            </w:r>
          </w:p>
        </w:tc>
        <w:tc>
          <w:tcPr>
            <w:tcW w:w="1665" w:type="dxa"/>
          </w:tcPr>
          <w:p w14:paraId="33931BA7" w14:textId="77777777" w:rsidR="00E17641" w:rsidRPr="00BF1B19" w:rsidRDefault="00E17641" w:rsidP="005F28D3">
            <w:pPr>
              <w:pStyle w:val="TableParagraph"/>
              <w:spacing w:before="0" w:after="240"/>
              <w:ind w:left="0"/>
            </w:pPr>
            <w:r w:rsidRPr="00BF1B19">
              <w:t>Retail investors.</w:t>
            </w:r>
          </w:p>
        </w:tc>
        <w:tc>
          <w:tcPr>
            <w:tcW w:w="1665" w:type="dxa"/>
          </w:tcPr>
          <w:p w14:paraId="2D98AD69" w14:textId="77777777" w:rsidR="00E17641" w:rsidRPr="00BF1B19" w:rsidRDefault="00E17641" w:rsidP="005F28D3">
            <w:pPr>
              <w:pStyle w:val="TableParagraph"/>
              <w:spacing w:before="0" w:after="240"/>
              <w:ind w:left="0"/>
            </w:pPr>
            <w:r w:rsidRPr="00BF1B19">
              <w:t>Retail investors.</w:t>
            </w:r>
          </w:p>
        </w:tc>
        <w:tc>
          <w:tcPr>
            <w:tcW w:w="1708" w:type="dxa"/>
          </w:tcPr>
          <w:p w14:paraId="55416385" w14:textId="77777777" w:rsidR="00E17641" w:rsidRPr="00BF1B19" w:rsidRDefault="00E17641" w:rsidP="005F28D3">
            <w:pPr>
              <w:pStyle w:val="TableParagraph"/>
              <w:spacing w:before="0" w:after="240"/>
              <w:ind w:left="0"/>
            </w:pPr>
            <w:r w:rsidRPr="00BF1B19">
              <w:t>Retail investors.</w:t>
            </w:r>
          </w:p>
        </w:tc>
      </w:tr>
      <w:tr w:rsidR="00E17641" w:rsidRPr="00BF1B19" w14:paraId="1E8E7362" w14:textId="77777777" w:rsidTr="00AC1258">
        <w:trPr>
          <w:cantSplit/>
        </w:trPr>
        <w:tc>
          <w:tcPr>
            <w:tcW w:w="1555" w:type="dxa"/>
          </w:tcPr>
          <w:p w14:paraId="67137376" w14:textId="77777777" w:rsidR="00E17641" w:rsidRPr="00BF1B19" w:rsidRDefault="00E17641" w:rsidP="005F28D3">
            <w:pPr>
              <w:pStyle w:val="TableParagraph"/>
              <w:spacing w:before="0" w:after="240"/>
              <w:ind w:left="0"/>
              <w:rPr>
                <w:b/>
              </w:rPr>
            </w:pPr>
            <w:r w:rsidRPr="00BF1B19">
              <w:rPr>
                <w:b/>
              </w:rPr>
              <w:t>Currencies available</w:t>
            </w:r>
          </w:p>
        </w:tc>
        <w:tc>
          <w:tcPr>
            <w:tcW w:w="1665" w:type="dxa"/>
          </w:tcPr>
          <w:p w14:paraId="7041577F" w14:textId="77777777" w:rsidR="00E17641" w:rsidRPr="00BF1B19" w:rsidRDefault="00E17641" w:rsidP="005F28D3">
            <w:pPr>
              <w:pStyle w:val="TableParagraph"/>
              <w:spacing w:before="0" w:after="240"/>
              <w:ind w:left="0"/>
            </w:pPr>
            <w:r w:rsidRPr="00BF1B19">
              <w:t>US$</w:t>
            </w:r>
          </w:p>
        </w:tc>
        <w:tc>
          <w:tcPr>
            <w:tcW w:w="1665" w:type="dxa"/>
          </w:tcPr>
          <w:p w14:paraId="528B39FD" w14:textId="01D98622" w:rsidR="00FC40C6" w:rsidRPr="00BF1B19" w:rsidRDefault="00E17641" w:rsidP="005F28D3">
            <w:pPr>
              <w:pStyle w:val="TableParagraph"/>
              <w:spacing w:before="0" w:after="240"/>
              <w:ind w:left="0"/>
            </w:pPr>
            <w:r w:rsidRPr="00BF1B19">
              <w:t>US$</w:t>
            </w:r>
            <w:r w:rsidR="00526AD9" w:rsidRPr="00BF1B19">
              <w:br/>
            </w:r>
            <w:r w:rsidR="00FC40C6" w:rsidRPr="00BF1B19">
              <w:t xml:space="preserve">Euro </w:t>
            </w:r>
          </w:p>
        </w:tc>
        <w:tc>
          <w:tcPr>
            <w:tcW w:w="1665" w:type="dxa"/>
          </w:tcPr>
          <w:p w14:paraId="2427F87A" w14:textId="1B15A67A" w:rsidR="000E430D" w:rsidRPr="00BF1B19" w:rsidRDefault="00E17641" w:rsidP="005F28D3">
            <w:pPr>
              <w:pStyle w:val="TableParagraph"/>
              <w:spacing w:before="0" w:after="240"/>
              <w:ind w:left="0"/>
            </w:pPr>
            <w:r w:rsidRPr="00BF1B19">
              <w:t xml:space="preserve">US$ </w:t>
            </w:r>
            <w:r w:rsidR="00526AD9" w:rsidRPr="00BF1B19">
              <w:br/>
            </w:r>
            <w:r w:rsidRPr="00BF1B19">
              <w:t>GBP</w:t>
            </w:r>
            <w:r w:rsidR="00526AD9" w:rsidRPr="00BF1B19">
              <w:br/>
            </w:r>
            <w:r w:rsidRPr="00BF1B19">
              <w:t xml:space="preserve">Euro </w:t>
            </w:r>
            <w:r w:rsidR="00526AD9" w:rsidRPr="00BF1B19">
              <w:br/>
            </w:r>
            <w:r w:rsidRPr="00BF1B19">
              <w:t>Singapore Dollar</w:t>
            </w:r>
            <w:r w:rsidR="00526AD9" w:rsidRPr="00BF1B19">
              <w:br/>
            </w:r>
            <w:r w:rsidR="00F259CC" w:rsidRPr="00BF1B19">
              <w:t>JPY</w:t>
            </w:r>
          </w:p>
        </w:tc>
        <w:tc>
          <w:tcPr>
            <w:tcW w:w="1665" w:type="dxa"/>
          </w:tcPr>
          <w:p w14:paraId="2C742747" w14:textId="77777777" w:rsidR="00E17641" w:rsidRPr="00BF1B19" w:rsidRDefault="00E17641" w:rsidP="005F28D3">
            <w:pPr>
              <w:pStyle w:val="TableParagraph"/>
              <w:spacing w:before="0" w:after="240"/>
              <w:ind w:left="0"/>
            </w:pPr>
            <w:r w:rsidRPr="00BF1B19">
              <w:t>GBP</w:t>
            </w:r>
          </w:p>
        </w:tc>
        <w:tc>
          <w:tcPr>
            <w:tcW w:w="1708" w:type="dxa"/>
          </w:tcPr>
          <w:p w14:paraId="304D3F9F" w14:textId="2C9A167A" w:rsidR="00F259CC" w:rsidRPr="00BF1B19" w:rsidRDefault="003431CD" w:rsidP="005F28D3">
            <w:pPr>
              <w:pStyle w:val="TableParagraph"/>
              <w:spacing w:before="0" w:after="240"/>
              <w:ind w:left="0"/>
            </w:pPr>
            <w:r>
              <w:t>Euro</w:t>
            </w:r>
            <w:r w:rsidR="00526AD9" w:rsidRPr="00BF1B19">
              <w:br/>
            </w:r>
          </w:p>
        </w:tc>
      </w:tr>
      <w:tr w:rsidR="00E17641" w:rsidRPr="00BF1B19" w14:paraId="7DF8C081" w14:textId="77777777" w:rsidTr="00AC1258">
        <w:trPr>
          <w:cantSplit/>
        </w:trPr>
        <w:tc>
          <w:tcPr>
            <w:tcW w:w="1555" w:type="dxa"/>
          </w:tcPr>
          <w:p w14:paraId="59ED280E" w14:textId="2E5D0184" w:rsidR="000E430D" w:rsidRPr="00BF1B19" w:rsidRDefault="00E17641" w:rsidP="005F28D3">
            <w:pPr>
              <w:pStyle w:val="TableParagraph"/>
              <w:spacing w:before="0" w:after="240"/>
              <w:ind w:left="0"/>
              <w:rPr>
                <w:b/>
              </w:rPr>
            </w:pPr>
            <w:r w:rsidRPr="00BF1B19">
              <w:rPr>
                <w:b/>
              </w:rPr>
              <w:t>Platform fee (percentage of NAV)</w:t>
            </w:r>
          </w:p>
        </w:tc>
        <w:tc>
          <w:tcPr>
            <w:tcW w:w="1665" w:type="dxa"/>
          </w:tcPr>
          <w:p w14:paraId="7A26766D" w14:textId="2825C0A2" w:rsidR="00E17641" w:rsidRPr="00BF1B19" w:rsidRDefault="00E17641" w:rsidP="005F28D3">
            <w:pPr>
              <w:pStyle w:val="TableParagraph"/>
              <w:spacing w:before="0" w:after="240"/>
              <w:ind w:left="0"/>
            </w:pPr>
            <w:r w:rsidRPr="00BF1B19">
              <w:t>0.1</w:t>
            </w:r>
            <w:r w:rsidR="00065E30" w:rsidRPr="00BF1B19">
              <w:t>5</w:t>
            </w:r>
            <w:r w:rsidRPr="00BF1B19">
              <w:t>%</w:t>
            </w:r>
            <w:r w:rsidR="00E56208" w:rsidRPr="00BF1B19">
              <w:t xml:space="preserve"> </w:t>
            </w:r>
            <w:r w:rsidRPr="00BF1B19">
              <w:t>per annum.</w:t>
            </w:r>
          </w:p>
        </w:tc>
        <w:tc>
          <w:tcPr>
            <w:tcW w:w="1665" w:type="dxa"/>
          </w:tcPr>
          <w:p w14:paraId="309A2F88" w14:textId="4B5BD1A1" w:rsidR="00E17641" w:rsidRPr="00BF1B19" w:rsidRDefault="00E17641" w:rsidP="005F28D3">
            <w:pPr>
              <w:pStyle w:val="TableParagraph"/>
              <w:tabs>
                <w:tab w:val="left" w:pos="1243"/>
              </w:tabs>
              <w:spacing w:before="0" w:after="240"/>
              <w:ind w:left="0"/>
            </w:pPr>
            <w:r w:rsidRPr="00BF1B19">
              <w:t>0.15%</w:t>
            </w:r>
            <w:r w:rsidR="00E56208" w:rsidRPr="00BF1B19">
              <w:t xml:space="preserve"> </w:t>
            </w:r>
            <w:r w:rsidRPr="00BF1B19">
              <w:t>per annum.</w:t>
            </w:r>
          </w:p>
        </w:tc>
        <w:tc>
          <w:tcPr>
            <w:tcW w:w="1665" w:type="dxa"/>
          </w:tcPr>
          <w:p w14:paraId="261E38AB" w14:textId="1C85F1F8" w:rsidR="00E17641" w:rsidRPr="00BF1B19" w:rsidRDefault="00E17641" w:rsidP="005F28D3">
            <w:pPr>
              <w:pStyle w:val="TableParagraph"/>
              <w:spacing w:before="0" w:after="240"/>
              <w:ind w:left="0"/>
            </w:pPr>
            <w:r w:rsidRPr="00BF1B19">
              <w:t>0.15%</w:t>
            </w:r>
            <w:r w:rsidR="00E56208" w:rsidRPr="00BF1B19">
              <w:t xml:space="preserve"> </w:t>
            </w:r>
            <w:r w:rsidRPr="00BF1B19">
              <w:t>per annum.</w:t>
            </w:r>
          </w:p>
        </w:tc>
        <w:tc>
          <w:tcPr>
            <w:tcW w:w="1665" w:type="dxa"/>
          </w:tcPr>
          <w:p w14:paraId="7070BDCD" w14:textId="77777777" w:rsidR="00E17641" w:rsidRPr="00BF1B19" w:rsidRDefault="00E17641" w:rsidP="005F28D3">
            <w:pPr>
              <w:pStyle w:val="TableParagraph"/>
              <w:spacing w:before="0" w:after="240"/>
              <w:ind w:left="0"/>
            </w:pPr>
            <w:r w:rsidRPr="00BF1B19">
              <w:t>0.15% per annum.</w:t>
            </w:r>
          </w:p>
        </w:tc>
        <w:tc>
          <w:tcPr>
            <w:tcW w:w="1708" w:type="dxa"/>
          </w:tcPr>
          <w:p w14:paraId="302E5ED4" w14:textId="59A080D2" w:rsidR="00E17641" w:rsidRPr="00BF1B19" w:rsidRDefault="00E17641" w:rsidP="005F28D3">
            <w:pPr>
              <w:pStyle w:val="TableParagraph"/>
              <w:spacing w:before="0" w:after="240"/>
              <w:ind w:left="0"/>
            </w:pPr>
            <w:r w:rsidRPr="00BF1B19">
              <w:t>0.15%</w:t>
            </w:r>
            <w:r w:rsidR="00E56208" w:rsidRPr="00BF1B19">
              <w:t xml:space="preserve"> </w:t>
            </w:r>
            <w:r w:rsidRPr="00BF1B19">
              <w:t>per annum.</w:t>
            </w:r>
          </w:p>
        </w:tc>
      </w:tr>
      <w:tr w:rsidR="00E17641" w:rsidRPr="00BF1B19" w14:paraId="00FA9A17" w14:textId="77777777" w:rsidTr="00AC1258">
        <w:trPr>
          <w:cantSplit/>
        </w:trPr>
        <w:tc>
          <w:tcPr>
            <w:tcW w:w="1555" w:type="dxa"/>
          </w:tcPr>
          <w:p w14:paraId="11EDCE2B" w14:textId="1AC8E4C9" w:rsidR="000E430D" w:rsidRPr="00BF1B19" w:rsidRDefault="00E17641" w:rsidP="005F28D3">
            <w:pPr>
              <w:pStyle w:val="TableParagraph"/>
              <w:spacing w:before="0" w:after="240"/>
              <w:ind w:left="0"/>
              <w:rPr>
                <w:b/>
              </w:rPr>
            </w:pPr>
            <w:r w:rsidRPr="00BF1B19">
              <w:rPr>
                <w:b/>
              </w:rPr>
              <w:lastRenderedPageBreak/>
              <w:t>Investment Manage</w:t>
            </w:r>
            <w:r w:rsidR="00E6090D" w:rsidRPr="00BF1B19">
              <w:rPr>
                <w:b/>
              </w:rPr>
              <w:t xml:space="preserve">ment </w:t>
            </w:r>
            <w:r w:rsidRPr="00BF1B19">
              <w:rPr>
                <w:b/>
              </w:rPr>
              <w:t>Fee (percentage</w:t>
            </w:r>
            <w:r w:rsidR="00526AD9" w:rsidRPr="00BF1B19">
              <w:rPr>
                <w:b/>
              </w:rPr>
              <w:t xml:space="preserve"> </w:t>
            </w:r>
            <w:r w:rsidRPr="00BF1B19">
              <w:rPr>
                <w:b/>
              </w:rPr>
              <w:t>of NAV)</w:t>
            </w:r>
          </w:p>
        </w:tc>
        <w:tc>
          <w:tcPr>
            <w:tcW w:w="1665" w:type="dxa"/>
          </w:tcPr>
          <w:p w14:paraId="6B0B001D" w14:textId="77777777" w:rsidR="00E17641" w:rsidRPr="00BF1B19" w:rsidRDefault="00065E30" w:rsidP="005F28D3">
            <w:pPr>
              <w:pStyle w:val="TableParagraph"/>
              <w:spacing w:before="0" w:after="240"/>
              <w:ind w:left="0"/>
            </w:pPr>
            <w:r w:rsidRPr="00BF1B19">
              <w:t>2</w:t>
            </w:r>
            <w:r w:rsidR="00E17641" w:rsidRPr="00BF1B19">
              <w:t>%</w:t>
            </w:r>
          </w:p>
        </w:tc>
        <w:tc>
          <w:tcPr>
            <w:tcW w:w="1665" w:type="dxa"/>
          </w:tcPr>
          <w:p w14:paraId="20105717" w14:textId="77777777" w:rsidR="00E17641" w:rsidRPr="00BF1B19" w:rsidRDefault="00E17641" w:rsidP="005F28D3">
            <w:pPr>
              <w:pStyle w:val="TableParagraph"/>
              <w:spacing w:before="0" w:after="240"/>
              <w:ind w:left="0"/>
            </w:pPr>
            <w:r w:rsidRPr="00BF1B19">
              <w:t>1</w:t>
            </w:r>
            <w:r w:rsidR="00065E30" w:rsidRPr="00BF1B19">
              <w:t>.5</w:t>
            </w:r>
            <w:r w:rsidRPr="00BF1B19">
              <w:t>%</w:t>
            </w:r>
          </w:p>
        </w:tc>
        <w:tc>
          <w:tcPr>
            <w:tcW w:w="1665" w:type="dxa"/>
          </w:tcPr>
          <w:p w14:paraId="2DE9DF41" w14:textId="77777777" w:rsidR="00E17641" w:rsidRPr="00BF1B19" w:rsidRDefault="00065E30" w:rsidP="005F28D3">
            <w:pPr>
              <w:pStyle w:val="TableParagraph"/>
              <w:spacing w:before="0" w:after="240"/>
              <w:ind w:left="0"/>
            </w:pPr>
            <w:r w:rsidRPr="00BF1B19">
              <w:t>2</w:t>
            </w:r>
            <w:r w:rsidR="00E17641" w:rsidRPr="00BF1B19">
              <w:t>%</w:t>
            </w:r>
          </w:p>
        </w:tc>
        <w:tc>
          <w:tcPr>
            <w:tcW w:w="1665" w:type="dxa"/>
          </w:tcPr>
          <w:p w14:paraId="0026888C" w14:textId="77777777" w:rsidR="00E17641" w:rsidRPr="00BF1B19" w:rsidRDefault="00065E30" w:rsidP="005F28D3">
            <w:pPr>
              <w:pStyle w:val="TableParagraph"/>
              <w:spacing w:before="0" w:after="240"/>
              <w:ind w:left="0"/>
            </w:pPr>
            <w:r w:rsidRPr="00BF1B19">
              <w:t>1.5</w:t>
            </w:r>
            <w:r w:rsidR="00E17641" w:rsidRPr="00BF1B19">
              <w:t>%</w:t>
            </w:r>
          </w:p>
        </w:tc>
        <w:tc>
          <w:tcPr>
            <w:tcW w:w="1708" w:type="dxa"/>
          </w:tcPr>
          <w:p w14:paraId="615124B8" w14:textId="77777777" w:rsidR="00E17641" w:rsidRPr="00BF1B19" w:rsidRDefault="00E17641" w:rsidP="005F28D3">
            <w:pPr>
              <w:pStyle w:val="TableParagraph"/>
              <w:spacing w:before="0" w:after="240"/>
              <w:ind w:left="0"/>
            </w:pPr>
            <w:r w:rsidRPr="00BF1B19">
              <w:t>2</w:t>
            </w:r>
            <w:r w:rsidR="00065E30" w:rsidRPr="00BF1B19">
              <w:t>.</w:t>
            </w:r>
            <w:r w:rsidR="003E26C2" w:rsidRPr="00BF1B19">
              <w:t>2</w:t>
            </w:r>
            <w:r w:rsidR="00065E30" w:rsidRPr="00BF1B19">
              <w:t>5</w:t>
            </w:r>
            <w:r w:rsidRPr="00BF1B19">
              <w:t>%</w:t>
            </w:r>
          </w:p>
        </w:tc>
      </w:tr>
      <w:tr w:rsidR="00E17641" w:rsidRPr="00BF1B19" w14:paraId="1ED58E27" w14:textId="77777777" w:rsidTr="00AC1258">
        <w:trPr>
          <w:cantSplit/>
        </w:trPr>
        <w:tc>
          <w:tcPr>
            <w:tcW w:w="1555" w:type="dxa"/>
          </w:tcPr>
          <w:p w14:paraId="027BE963" w14:textId="27FDC179" w:rsidR="00E17641" w:rsidRPr="00BF1B19" w:rsidRDefault="00E17641" w:rsidP="005F28D3">
            <w:pPr>
              <w:pStyle w:val="TableParagraph"/>
              <w:spacing w:before="0" w:after="240"/>
              <w:ind w:left="0"/>
              <w:rPr>
                <w:b/>
              </w:rPr>
            </w:pPr>
            <w:r w:rsidRPr="00BF1B19">
              <w:rPr>
                <w:b/>
              </w:rPr>
              <w:t>Performance Fee</w:t>
            </w:r>
            <w:r w:rsidR="000E430D" w:rsidRPr="00BF1B19">
              <w:rPr>
                <w:b/>
              </w:rPr>
              <w:t xml:space="preserve"> </w:t>
            </w:r>
            <w:r w:rsidRPr="00BF1B19">
              <w:rPr>
                <w:b/>
              </w:rPr>
              <w:t>–</w:t>
            </w:r>
            <w:r w:rsidR="000E430D" w:rsidRPr="00BF1B19">
              <w:rPr>
                <w:b/>
              </w:rPr>
              <w:t xml:space="preserve"> </w:t>
            </w:r>
            <w:r w:rsidRPr="00BF1B19">
              <w:rPr>
                <w:b/>
              </w:rPr>
              <w:t>Relevant Percentage</w:t>
            </w:r>
          </w:p>
        </w:tc>
        <w:tc>
          <w:tcPr>
            <w:tcW w:w="1665" w:type="dxa"/>
          </w:tcPr>
          <w:p w14:paraId="4DF05BBD" w14:textId="46ADF23A" w:rsidR="00E17641" w:rsidRPr="00BF1B19" w:rsidRDefault="00065E30" w:rsidP="005F28D3">
            <w:pPr>
              <w:pStyle w:val="TableParagraph"/>
              <w:spacing w:before="0" w:after="240"/>
              <w:ind w:left="0"/>
            </w:pPr>
            <w:r w:rsidRPr="00BF1B19">
              <w:t>16</w:t>
            </w:r>
            <w:r w:rsidR="00E17641" w:rsidRPr="00BF1B19">
              <w:t>%</w:t>
            </w:r>
            <w:r w:rsidR="000E430D" w:rsidRPr="00BF1B19">
              <w:t xml:space="preserve"> </w:t>
            </w:r>
            <w:r w:rsidR="00E17641" w:rsidRPr="00BF1B19">
              <w:t xml:space="preserve">calculated on </w:t>
            </w:r>
            <w:r w:rsidR="00382AF0" w:rsidRPr="00A1648F">
              <w:t>a Class level</w:t>
            </w:r>
            <w:r w:rsidR="00D51920" w:rsidRPr="00BF1B19">
              <w:t xml:space="preserve"> basis.</w:t>
            </w:r>
          </w:p>
        </w:tc>
        <w:tc>
          <w:tcPr>
            <w:tcW w:w="1665" w:type="dxa"/>
          </w:tcPr>
          <w:p w14:paraId="50C3C1FA" w14:textId="4D544C23" w:rsidR="000E430D" w:rsidRPr="00BF1B19" w:rsidRDefault="00065E30" w:rsidP="005F28D3">
            <w:pPr>
              <w:pStyle w:val="TableParagraph"/>
              <w:tabs>
                <w:tab w:val="left" w:pos="1243"/>
              </w:tabs>
              <w:spacing w:before="0" w:after="240"/>
              <w:ind w:left="0"/>
            </w:pPr>
            <w:r w:rsidRPr="00BF1B19">
              <w:t>20</w:t>
            </w:r>
            <w:r w:rsidR="00E17641" w:rsidRPr="00BF1B19">
              <w:t>% calculated on</w:t>
            </w:r>
            <w:r w:rsidR="000E430D" w:rsidRPr="00BF1B19">
              <w:t xml:space="preserve"> </w:t>
            </w:r>
            <w:r w:rsidR="00382AF0" w:rsidRPr="00A1648F">
              <w:t>a Class level</w:t>
            </w:r>
            <w:r w:rsidR="00E17641" w:rsidRPr="00BF1B19">
              <w:t xml:space="preserve"> basis.</w:t>
            </w:r>
          </w:p>
        </w:tc>
        <w:tc>
          <w:tcPr>
            <w:tcW w:w="1665" w:type="dxa"/>
          </w:tcPr>
          <w:p w14:paraId="00F57D79" w14:textId="77777777" w:rsidR="00E17641" w:rsidRPr="00BF1B19" w:rsidRDefault="00065E30" w:rsidP="005F28D3">
            <w:pPr>
              <w:pStyle w:val="TableParagraph"/>
              <w:spacing w:before="0" w:after="240"/>
              <w:ind w:left="0"/>
            </w:pPr>
            <w:r w:rsidRPr="00BF1B19">
              <w:t>20</w:t>
            </w:r>
            <w:r w:rsidR="00E17641" w:rsidRPr="00BF1B19">
              <w:t>% calculated on a Class level basis.</w:t>
            </w:r>
          </w:p>
        </w:tc>
        <w:tc>
          <w:tcPr>
            <w:tcW w:w="1665" w:type="dxa"/>
          </w:tcPr>
          <w:p w14:paraId="64DB42C7" w14:textId="77777777" w:rsidR="00E17641" w:rsidRPr="00BF1B19" w:rsidRDefault="00065E30" w:rsidP="005F28D3">
            <w:pPr>
              <w:pStyle w:val="TableParagraph"/>
              <w:spacing w:before="0" w:after="240"/>
              <w:ind w:left="0"/>
            </w:pPr>
            <w:r w:rsidRPr="00BF1B19">
              <w:t>20</w:t>
            </w:r>
            <w:r w:rsidR="00E17641" w:rsidRPr="00BF1B19">
              <w:t>% calculated on a Class level basis.</w:t>
            </w:r>
          </w:p>
        </w:tc>
        <w:tc>
          <w:tcPr>
            <w:tcW w:w="1708" w:type="dxa"/>
          </w:tcPr>
          <w:p w14:paraId="4A9DB27F" w14:textId="77777777" w:rsidR="00E17641" w:rsidRPr="00BF1B19" w:rsidRDefault="00E17641" w:rsidP="005F28D3">
            <w:pPr>
              <w:pStyle w:val="TableParagraph"/>
              <w:spacing w:before="0" w:after="240"/>
              <w:ind w:left="0"/>
            </w:pPr>
            <w:r w:rsidRPr="00BF1B19">
              <w:t>20% calculated on a Class level basis.</w:t>
            </w:r>
          </w:p>
        </w:tc>
      </w:tr>
      <w:tr w:rsidR="00EC59B0" w:rsidRPr="00BF1B19" w14:paraId="3C25C17B" w14:textId="77777777" w:rsidTr="00AC1258">
        <w:trPr>
          <w:cantSplit/>
        </w:trPr>
        <w:tc>
          <w:tcPr>
            <w:tcW w:w="1555" w:type="dxa"/>
          </w:tcPr>
          <w:p w14:paraId="69844366" w14:textId="58EE399A" w:rsidR="00EC59B0" w:rsidRPr="00BF1B19" w:rsidRDefault="00EC59B0" w:rsidP="005F28D3">
            <w:pPr>
              <w:pStyle w:val="TableParagraph"/>
              <w:tabs>
                <w:tab w:val="left" w:pos="1276"/>
              </w:tabs>
              <w:spacing w:before="0" w:after="240"/>
              <w:ind w:left="0"/>
              <w:rPr>
                <w:b/>
              </w:rPr>
            </w:pPr>
            <w:r w:rsidRPr="00BF1B19">
              <w:rPr>
                <w:b/>
              </w:rPr>
              <w:t>First Performance Period</w:t>
            </w:r>
          </w:p>
        </w:tc>
        <w:tc>
          <w:tcPr>
            <w:tcW w:w="1665" w:type="dxa"/>
          </w:tcPr>
          <w:p w14:paraId="121AA1AF" w14:textId="04FD5AFF" w:rsidR="00EC59B0" w:rsidRPr="00BF1B19" w:rsidRDefault="00EC59B0" w:rsidP="005F28D3">
            <w:pPr>
              <w:pStyle w:val="TableParagraph"/>
              <w:spacing w:before="0" w:after="240"/>
              <w:ind w:left="0"/>
            </w:pPr>
            <w:r w:rsidRPr="00BF1B19">
              <w:t xml:space="preserve">From the </w:t>
            </w:r>
            <w:r w:rsidR="0017280B" w:rsidRPr="00A1648F">
              <w:t>end</w:t>
            </w:r>
            <w:r w:rsidRPr="00BF1B19">
              <w:t xml:space="preserve"> of the </w:t>
            </w:r>
            <w:r w:rsidR="0017280B" w:rsidRPr="00A1648F">
              <w:t>Initial Offer Period</w:t>
            </w:r>
            <w:r w:rsidRPr="00BF1B19">
              <w:t xml:space="preserve"> of the </w:t>
            </w:r>
            <w:r w:rsidR="0017280B" w:rsidRPr="00A1648F">
              <w:t>Class</w:t>
            </w:r>
            <w:r w:rsidRPr="00BF1B19">
              <w:t xml:space="preserve"> to 31 December 202</w:t>
            </w:r>
            <w:r w:rsidR="0017280B" w:rsidRPr="00A1648F">
              <w:t>4</w:t>
            </w:r>
            <w:r w:rsidRPr="00BF1B19">
              <w:t>.</w:t>
            </w:r>
          </w:p>
        </w:tc>
        <w:tc>
          <w:tcPr>
            <w:tcW w:w="1665" w:type="dxa"/>
          </w:tcPr>
          <w:p w14:paraId="22B97331" w14:textId="7ED4B26B" w:rsidR="00EC59B0" w:rsidRPr="00BF1B19" w:rsidRDefault="00EC59B0" w:rsidP="005F28D3">
            <w:pPr>
              <w:pStyle w:val="TableParagraph"/>
              <w:spacing w:before="0" w:after="240"/>
              <w:ind w:left="0"/>
            </w:pPr>
            <w:r w:rsidRPr="00BF1B19">
              <w:t xml:space="preserve">From the </w:t>
            </w:r>
            <w:r w:rsidR="0070563C" w:rsidRPr="00A1648F">
              <w:t>end</w:t>
            </w:r>
            <w:r w:rsidRPr="00BF1B19">
              <w:t xml:space="preserve"> of the </w:t>
            </w:r>
            <w:r w:rsidR="0070563C" w:rsidRPr="00A1648F">
              <w:t>Initial Offer Period</w:t>
            </w:r>
            <w:r w:rsidRPr="00BF1B19">
              <w:t xml:space="preserve"> of the </w:t>
            </w:r>
            <w:r w:rsidR="0070563C" w:rsidRPr="00A1648F">
              <w:t>Class</w:t>
            </w:r>
            <w:r w:rsidRPr="00BF1B19">
              <w:t xml:space="preserve"> to 31 December 202</w:t>
            </w:r>
            <w:r w:rsidR="0070563C" w:rsidRPr="00A1648F">
              <w:t>4</w:t>
            </w:r>
            <w:r w:rsidRPr="00BF1B19">
              <w:t>.</w:t>
            </w:r>
          </w:p>
        </w:tc>
        <w:tc>
          <w:tcPr>
            <w:tcW w:w="1665" w:type="dxa"/>
          </w:tcPr>
          <w:p w14:paraId="3F84F69E" w14:textId="40CDB09A" w:rsidR="00EC59B0" w:rsidRPr="00BF1B19" w:rsidRDefault="00EC59B0" w:rsidP="005F28D3">
            <w:pPr>
              <w:pStyle w:val="TableParagraph"/>
              <w:spacing w:before="0" w:after="240"/>
              <w:ind w:left="0"/>
            </w:pPr>
            <w:r w:rsidRPr="00BF1B19">
              <w:t>From the date of the launch of the Fund to 31 December 2021.</w:t>
            </w:r>
          </w:p>
        </w:tc>
        <w:tc>
          <w:tcPr>
            <w:tcW w:w="1665" w:type="dxa"/>
          </w:tcPr>
          <w:p w14:paraId="6AF5E0BD" w14:textId="2DFCD5FE" w:rsidR="00EC59B0" w:rsidRPr="00BF1B19" w:rsidRDefault="00EC59B0" w:rsidP="005F28D3">
            <w:pPr>
              <w:pStyle w:val="TableParagraph"/>
              <w:spacing w:before="0" w:after="240"/>
              <w:ind w:left="0"/>
            </w:pPr>
            <w:r w:rsidRPr="00BF1B19">
              <w:t>From the date of the launch of the Fund to 31 December 2021.</w:t>
            </w:r>
          </w:p>
        </w:tc>
        <w:tc>
          <w:tcPr>
            <w:tcW w:w="1708" w:type="dxa"/>
          </w:tcPr>
          <w:p w14:paraId="75BBAE97" w14:textId="57AA4724" w:rsidR="00EC59B0" w:rsidRPr="00BF1B19" w:rsidRDefault="00EC59B0" w:rsidP="005F28D3">
            <w:pPr>
              <w:pStyle w:val="TableParagraph"/>
              <w:spacing w:before="0" w:after="240"/>
              <w:ind w:left="0"/>
            </w:pPr>
            <w:r w:rsidRPr="00BF1B19">
              <w:t>From the date of the launch of the Fund to 31 December 2021.</w:t>
            </w:r>
          </w:p>
        </w:tc>
      </w:tr>
      <w:tr w:rsidR="00E17641" w:rsidRPr="00BF1B19" w14:paraId="47BD6AAF" w14:textId="77777777" w:rsidTr="00AC1258">
        <w:trPr>
          <w:cantSplit/>
        </w:trPr>
        <w:tc>
          <w:tcPr>
            <w:tcW w:w="1555" w:type="dxa"/>
          </w:tcPr>
          <w:p w14:paraId="3C675D5E" w14:textId="3A781010" w:rsidR="00885796" w:rsidRPr="00BF1B19" w:rsidRDefault="00EC59B0" w:rsidP="005F28D3">
            <w:pPr>
              <w:pStyle w:val="TableParagraph"/>
              <w:spacing w:before="0" w:after="240"/>
              <w:ind w:left="0"/>
            </w:pPr>
            <w:r w:rsidRPr="00BF1B19">
              <w:rPr>
                <w:b/>
              </w:rPr>
              <w:t xml:space="preserve">Each </w:t>
            </w:r>
            <w:r w:rsidR="00E17641" w:rsidRPr="00BF1B19">
              <w:rPr>
                <w:b/>
              </w:rPr>
              <w:t xml:space="preserve">Performance Period </w:t>
            </w:r>
            <w:r w:rsidRPr="00BF1B19">
              <w:rPr>
                <w:b/>
              </w:rPr>
              <w:t>Following the First Performance Period</w:t>
            </w:r>
          </w:p>
        </w:tc>
        <w:tc>
          <w:tcPr>
            <w:tcW w:w="1665" w:type="dxa"/>
          </w:tcPr>
          <w:p w14:paraId="6475A87E" w14:textId="260998BB" w:rsidR="00E17641" w:rsidRPr="00BF1B19" w:rsidRDefault="00EC59B0" w:rsidP="005F28D3">
            <w:pPr>
              <w:pStyle w:val="TableParagraph"/>
              <w:spacing w:before="0" w:after="240"/>
              <w:ind w:left="0"/>
            </w:pPr>
            <w:r w:rsidRPr="00BF1B19">
              <w:t>1 January to 31 December of each following year.</w:t>
            </w:r>
          </w:p>
        </w:tc>
        <w:tc>
          <w:tcPr>
            <w:tcW w:w="1665" w:type="dxa"/>
          </w:tcPr>
          <w:p w14:paraId="10CDD406" w14:textId="63540A51" w:rsidR="00E17641" w:rsidRPr="00BF1B19" w:rsidRDefault="00EC59B0" w:rsidP="005F28D3">
            <w:pPr>
              <w:pStyle w:val="TableParagraph"/>
              <w:spacing w:before="0" w:after="240"/>
              <w:ind w:left="0"/>
            </w:pPr>
            <w:r w:rsidRPr="00BF1B19">
              <w:t>1 January to 31 December of each following year.</w:t>
            </w:r>
          </w:p>
        </w:tc>
        <w:tc>
          <w:tcPr>
            <w:tcW w:w="1665" w:type="dxa"/>
          </w:tcPr>
          <w:p w14:paraId="434BB362" w14:textId="2B2476B1" w:rsidR="00E17641" w:rsidRPr="00BF1B19" w:rsidRDefault="00EC59B0" w:rsidP="005F28D3">
            <w:pPr>
              <w:pStyle w:val="TableParagraph"/>
              <w:spacing w:before="0" w:after="240"/>
              <w:ind w:left="0"/>
            </w:pPr>
            <w:r w:rsidRPr="00BF1B19">
              <w:t>1 January to 31 December of each following year.</w:t>
            </w:r>
          </w:p>
        </w:tc>
        <w:tc>
          <w:tcPr>
            <w:tcW w:w="1665" w:type="dxa"/>
          </w:tcPr>
          <w:p w14:paraId="4A2DA233" w14:textId="20D29121" w:rsidR="00E17641" w:rsidRPr="00BF1B19" w:rsidRDefault="00EC59B0" w:rsidP="005F28D3">
            <w:pPr>
              <w:pStyle w:val="TableParagraph"/>
              <w:spacing w:before="0" w:after="240"/>
              <w:ind w:left="0"/>
            </w:pPr>
            <w:r w:rsidRPr="00BF1B19">
              <w:t>1 January to 31 December of each following year.</w:t>
            </w:r>
          </w:p>
        </w:tc>
        <w:tc>
          <w:tcPr>
            <w:tcW w:w="1708" w:type="dxa"/>
          </w:tcPr>
          <w:p w14:paraId="53B45212" w14:textId="7B3DB02E" w:rsidR="00E17641" w:rsidRPr="00BF1B19" w:rsidRDefault="00EC59B0" w:rsidP="005F28D3">
            <w:pPr>
              <w:pStyle w:val="TableParagraph"/>
              <w:spacing w:before="0" w:after="240"/>
              <w:ind w:left="0"/>
            </w:pPr>
            <w:r w:rsidRPr="00BF1B19">
              <w:t>1 January to 31 December of each following year.</w:t>
            </w:r>
          </w:p>
        </w:tc>
      </w:tr>
      <w:tr w:rsidR="00A16FDB" w:rsidRPr="00BF1B19" w14:paraId="57CF049B" w14:textId="77777777" w:rsidTr="00AC1258">
        <w:trPr>
          <w:cantSplit/>
        </w:trPr>
        <w:tc>
          <w:tcPr>
            <w:tcW w:w="1555" w:type="dxa"/>
          </w:tcPr>
          <w:p w14:paraId="34DF90A0" w14:textId="579C91E5" w:rsidR="00A16FDB" w:rsidRPr="00BF1B19" w:rsidRDefault="00A16FDB" w:rsidP="005F28D3">
            <w:pPr>
              <w:pStyle w:val="TableParagraph"/>
              <w:spacing w:before="0" w:after="240"/>
              <w:ind w:left="0"/>
              <w:rPr>
                <w:b/>
              </w:rPr>
            </w:pPr>
            <w:r w:rsidRPr="00BF1B19">
              <w:rPr>
                <w:b/>
              </w:rPr>
              <w:t>Hedging</w:t>
            </w:r>
          </w:p>
        </w:tc>
        <w:tc>
          <w:tcPr>
            <w:tcW w:w="1665" w:type="dxa"/>
          </w:tcPr>
          <w:p w14:paraId="7FBC2349" w14:textId="2C95DD21" w:rsidR="00A16FDB" w:rsidRPr="00BF1B19" w:rsidRDefault="00A16FDB" w:rsidP="005F28D3">
            <w:pPr>
              <w:pStyle w:val="TableParagraph"/>
              <w:spacing w:before="0" w:after="240"/>
              <w:ind w:left="0"/>
            </w:pPr>
            <w:r w:rsidRPr="00BF1B19">
              <w:t>No.</w:t>
            </w:r>
          </w:p>
        </w:tc>
        <w:tc>
          <w:tcPr>
            <w:tcW w:w="1665" w:type="dxa"/>
          </w:tcPr>
          <w:p w14:paraId="6FA2AD90" w14:textId="2B0D0371" w:rsidR="00A16FDB" w:rsidRPr="00BF1B19" w:rsidRDefault="00A16FDB" w:rsidP="005F28D3">
            <w:pPr>
              <w:pStyle w:val="TableParagraph"/>
              <w:spacing w:before="0" w:after="240"/>
              <w:ind w:left="0"/>
            </w:pPr>
            <w:r w:rsidRPr="00BF1B19">
              <w:t>Yes, in Euro.</w:t>
            </w:r>
          </w:p>
        </w:tc>
        <w:tc>
          <w:tcPr>
            <w:tcW w:w="1665" w:type="dxa"/>
          </w:tcPr>
          <w:p w14:paraId="4EE96BDE" w14:textId="2D49C06C" w:rsidR="00A16FDB" w:rsidRPr="00BF1B19" w:rsidRDefault="00A16FDB" w:rsidP="005F28D3">
            <w:pPr>
              <w:pStyle w:val="TableParagraph"/>
              <w:spacing w:before="0" w:after="240"/>
              <w:ind w:left="0"/>
            </w:pPr>
            <w:r w:rsidRPr="00BF1B19">
              <w:t>Yes,</w:t>
            </w:r>
            <w:r w:rsidR="00F259CC" w:rsidRPr="00BF1B19">
              <w:t xml:space="preserve"> in GB</w:t>
            </w:r>
            <w:r w:rsidR="001B092C" w:rsidRPr="00BF1B19">
              <w:t>P, Singapore Dollar, Euro and JPY.</w:t>
            </w:r>
          </w:p>
        </w:tc>
        <w:tc>
          <w:tcPr>
            <w:tcW w:w="1665" w:type="dxa"/>
          </w:tcPr>
          <w:p w14:paraId="6BDBF58B" w14:textId="14BE018C" w:rsidR="00A16FDB" w:rsidRPr="00BF1B19" w:rsidRDefault="00A16FDB" w:rsidP="005F28D3">
            <w:pPr>
              <w:pStyle w:val="TableParagraph"/>
              <w:spacing w:before="0" w:after="240"/>
              <w:ind w:left="0"/>
            </w:pPr>
            <w:r w:rsidRPr="00BF1B19">
              <w:t>Yes, in GBP.</w:t>
            </w:r>
          </w:p>
        </w:tc>
        <w:tc>
          <w:tcPr>
            <w:tcW w:w="1708" w:type="dxa"/>
          </w:tcPr>
          <w:p w14:paraId="7067C3CA" w14:textId="0167B5D2" w:rsidR="00A16FDB" w:rsidRPr="00BF1B19" w:rsidRDefault="00460FD6" w:rsidP="005F28D3">
            <w:pPr>
              <w:pStyle w:val="TableParagraph"/>
              <w:spacing w:before="0" w:after="240"/>
              <w:ind w:left="0"/>
            </w:pPr>
            <w:r>
              <w:t>Yes, in Euro.</w:t>
            </w:r>
          </w:p>
        </w:tc>
      </w:tr>
      <w:tr w:rsidR="00A16FDB" w:rsidRPr="00BF1B19" w14:paraId="6A86724C" w14:textId="77777777" w:rsidTr="00AC1258">
        <w:trPr>
          <w:cantSplit/>
        </w:trPr>
        <w:tc>
          <w:tcPr>
            <w:tcW w:w="1555" w:type="dxa"/>
          </w:tcPr>
          <w:p w14:paraId="315F07D8" w14:textId="42DBB1F0" w:rsidR="00A16FDB" w:rsidRPr="00BF1B19" w:rsidRDefault="00A16FDB" w:rsidP="005F28D3">
            <w:pPr>
              <w:pStyle w:val="TableParagraph"/>
              <w:spacing w:before="0" w:after="240"/>
              <w:ind w:left="0"/>
              <w:rPr>
                <w:b/>
              </w:rPr>
            </w:pPr>
            <w:r w:rsidRPr="00BF1B19">
              <w:rPr>
                <w:b/>
              </w:rPr>
              <w:t>Subscription Fee</w:t>
            </w:r>
          </w:p>
        </w:tc>
        <w:tc>
          <w:tcPr>
            <w:tcW w:w="1665" w:type="dxa"/>
          </w:tcPr>
          <w:p w14:paraId="25BCB72C" w14:textId="01462659" w:rsidR="00A16FDB" w:rsidRPr="00BF1B19" w:rsidRDefault="00A16FDB" w:rsidP="005F28D3">
            <w:pPr>
              <w:pStyle w:val="TableParagraph"/>
              <w:spacing w:before="0" w:after="240"/>
              <w:ind w:left="0"/>
            </w:pPr>
            <w:r w:rsidRPr="00BF1B19">
              <w:t>Not currently charged.</w:t>
            </w:r>
          </w:p>
        </w:tc>
        <w:tc>
          <w:tcPr>
            <w:tcW w:w="1665" w:type="dxa"/>
          </w:tcPr>
          <w:p w14:paraId="53CBD452" w14:textId="7B39D5DB" w:rsidR="00A16FDB" w:rsidRPr="00BF1B19" w:rsidRDefault="00A16FDB" w:rsidP="005F28D3">
            <w:pPr>
              <w:pStyle w:val="TableParagraph"/>
              <w:spacing w:before="0" w:after="240"/>
              <w:ind w:left="0"/>
            </w:pPr>
            <w:r w:rsidRPr="00BF1B19">
              <w:t>Not currently charged.</w:t>
            </w:r>
          </w:p>
        </w:tc>
        <w:tc>
          <w:tcPr>
            <w:tcW w:w="1665" w:type="dxa"/>
          </w:tcPr>
          <w:p w14:paraId="4D9D369D" w14:textId="74CE353B" w:rsidR="00A16FDB" w:rsidRPr="00BF1B19" w:rsidRDefault="00A16FDB" w:rsidP="005F28D3">
            <w:pPr>
              <w:pStyle w:val="TableParagraph"/>
              <w:spacing w:before="0" w:after="240"/>
              <w:ind w:left="0"/>
            </w:pPr>
            <w:r w:rsidRPr="00BF1B19">
              <w:t>Up to 5% of subscription monies.</w:t>
            </w:r>
          </w:p>
        </w:tc>
        <w:tc>
          <w:tcPr>
            <w:tcW w:w="1665" w:type="dxa"/>
          </w:tcPr>
          <w:p w14:paraId="2345034C" w14:textId="02B6F0D1" w:rsidR="00A16FDB" w:rsidRPr="00BF1B19" w:rsidRDefault="00526AD9" w:rsidP="005F28D3">
            <w:pPr>
              <w:pStyle w:val="TableParagraph"/>
              <w:spacing w:before="0" w:after="240"/>
              <w:ind w:left="0"/>
            </w:pPr>
            <w:r w:rsidRPr="00BF1B19">
              <w:t xml:space="preserve">Up to </w:t>
            </w:r>
            <w:r w:rsidR="00A16FDB" w:rsidRPr="00BF1B19">
              <w:t>5% of subscription monies.</w:t>
            </w:r>
          </w:p>
        </w:tc>
        <w:tc>
          <w:tcPr>
            <w:tcW w:w="1708" w:type="dxa"/>
          </w:tcPr>
          <w:p w14:paraId="299C416B" w14:textId="3F4125E5" w:rsidR="00A16FDB" w:rsidRPr="00BF1B19" w:rsidRDefault="00A16FDB" w:rsidP="005F28D3">
            <w:pPr>
              <w:pStyle w:val="TableParagraph"/>
              <w:tabs>
                <w:tab w:val="left" w:pos="544"/>
                <w:tab w:val="left" w:pos="1328"/>
              </w:tabs>
              <w:spacing w:before="0" w:after="240"/>
              <w:ind w:left="0"/>
            </w:pPr>
            <w:r w:rsidRPr="00BF1B19">
              <w:t>A contingent deferred subscription charge may be payable in respect of subscriptions for this Class, further details of which are set out below.</w:t>
            </w:r>
          </w:p>
        </w:tc>
      </w:tr>
      <w:tr w:rsidR="00D16EC0" w:rsidRPr="00BF1B19" w14:paraId="0A970EE4" w14:textId="77777777" w:rsidTr="00AC1258">
        <w:trPr>
          <w:cantSplit/>
        </w:trPr>
        <w:tc>
          <w:tcPr>
            <w:tcW w:w="1555" w:type="dxa"/>
          </w:tcPr>
          <w:p w14:paraId="63C380C4" w14:textId="2982C7A8" w:rsidR="00D16EC0" w:rsidRPr="00BF1B19" w:rsidRDefault="00D16EC0" w:rsidP="00526AD9">
            <w:pPr>
              <w:pStyle w:val="TableParagraph"/>
              <w:spacing w:before="0" w:after="240"/>
              <w:ind w:left="0"/>
              <w:rPr>
                <w:b/>
              </w:rPr>
            </w:pPr>
            <w:r w:rsidRPr="00BF1B19">
              <w:rPr>
                <w:b/>
              </w:rPr>
              <w:t>Redemption Fee</w:t>
            </w:r>
          </w:p>
        </w:tc>
        <w:tc>
          <w:tcPr>
            <w:tcW w:w="1665" w:type="dxa"/>
          </w:tcPr>
          <w:p w14:paraId="5E2FC94D" w14:textId="1B13D576" w:rsidR="00D16EC0" w:rsidRPr="00BF1B19" w:rsidRDefault="00D16EC0" w:rsidP="00526AD9">
            <w:pPr>
              <w:pStyle w:val="TableParagraph"/>
              <w:spacing w:before="0" w:after="240"/>
              <w:ind w:left="0"/>
            </w:pPr>
            <w:r w:rsidRPr="00BF1B19">
              <w:t>Not currently charged.</w:t>
            </w:r>
          </w:p>
        </w:tc>
        <w:tc>
          <w:tcPr>
            <w:tcW w:w="1665" w:type="dxa"/>
          </w:tcPr>
          <w:p w14:paraId="6A4A709A" w14:textId="62F0CA29" w:rsidR="00D16EC0" w:rsidRPr="00BF1B19" w:rsidRDefault="00D16EC0" w:rsidP="00526AD9">
            <w:pPr>
              <w:pStyle w:val="TableParagraph"/>
              <w:spacing w:before="0" w:after="240"/>
              <w:ind w:left="0"/>
            </w:pPr>
            <w:r w:rsidRPr="00BF1B19">
              <w:t>Not currently charged.</w:t>
            </w:r>
          </w:p>
        </w:tc>
        <w:tc>
          <w:tcPr>
            <w:tcW w:w="1665" w:type="dxa"/>
          </w:tcPr>
          <w:p w14:paraId="44CEB7C9" w14:textId="4A886CDF" w:rsidR="00D16EC0" w:rsidRPr="00BF1B19" w:rsidRDefault="00D16EC0" w:rsidP="00526AD9">
            <w:pPr>
              <w:pStyle w:val="TableParagraph"/>
              <w:spacing w:before="0" w:after="240"/>
              <w:ind w:left="0"/>
            </w:pPr>
            <w:r w:rsidRPr="00BF1B19">
              <w:t>Not currently charged.</w:t>
            </w:r>
          </w:p>
        </w:tc>
        <w:tc>
          <w:tcPr>
            <w:tcW w:w="1665" w:type="dxa"/>
          </w:tcPr>
          <w:p w14:paraId="496D6CD1" w14:textId="6EC58904" w:rsidR="00D16EC0" w:rsidRPr="00BF1B19" w:rsidRDefault="00D16EC0" w:rsidP="00526AD9">
            <w:pPr>
              <w:pStyle w:val="TableParagraph"/>
              <w:spacing w:before="0" w:after="240"/>
              <w:ind w:left="0"/>
            </w:pPr>
            <w:r w:rsidRPr="00BF1B19">
              <w:t>Not currently charged.</w:t>
            </w:r>
          </w:p>
        </w:tc>
        <w:tc>
          <w:tcPr>
            <w:tcW w:w="1708" w:type="dxa"/>
          </w:tcPr>
          <w:p w14:paraId="05F45CC1" w14:textId="2B264EC6" w:rsidR="00D16EC0" w:rsidRPr="00BF1B19" w:rsidRDefault="00D16EC0" w:rsidP="00526AD9">
            <w:pPr>
              <w:pStyle w:val="TableParagraph"/>
              <w:tabs>
                <w:tab w:val="left" w:pos="544"/>
                <w:tab w:val="left" w:pos="1328"/>
              </w:tabs>
              <w:spacing w:before="0" w:after="240"/>
              <w:ind w:left="0"/>
            </w:pPr>
            <w:r w:rsidRPr="00BF1B19">
              <w:t>Not currently charged.</w:t>
            </w:r>
          </w:p>
        </w:tc>
      </w:tr>
      <w:tr w:rsidR="00D16EC0" w:rsidRPr="00BF1B19" w14:paraId="0814BEFC" w14:textId="77777777" w:rsidTr="00AC1258">
        <w:trPr>
          <w:cantSplit/>
        </w:trPr>
        <w:tc>
          <w:tcPr>
            <w:tcW w:w="1555" w:type="dxa"/>
          </w:tcPr>
          <w:p w14:paraId="07EC548E" w14:textId="557C1756" w:rsidR="00D16EC0" w:rsidRPr="00BF1B19" w:rsidRDefault="00D16EC0" w:rsidP="00526AD9">
            <w:pPr>
              <w:pStyle w:val="TableParagraph"/>
              <w:tabs>
                <w:tab w:val="left" w:pos="1278"/>
              </w:tabs>
              <w:spacing w:before="0" w:after="240"/>
              <w:ind w:left="0"/>
              <w:rPr>
                <w:b/>
              </w:rPr>
            </w:pPr>
            <w:r w:rsidRPr="00BF1B19">
              <w:rPr>
                <w:b/>
              </w:rPr>
              <w:t>Exchange / Switching / Conversion Fee</w:t>
            </w:r>
          </w:p>
        </w:tc>
        <w:tc>
          <w:tcPr>
            <w:tcW w:w="1665" w:type="dxa"/>
          </w:tcPr>
          <w:p w14:paraId="10748EF3" w14:textId="4E4821F9" w:rsidR="00D16EC0" w:rsidRPr="00BF1B19" w:rsidRDefault="00D16EC0" w:rsidP="00526AD9">
            <w:pPr>
              <w:pStyle w:val="TableParagraph"/>
              <w:spacing w:before="0" w:after="240"/>
              <w:ind w:left="0"/>
            </w:pPr>
            <w:r w:rsidRPr="00BF1B19">
              <w:t>None.</w:t>
            </w:r>
          </w:p>
        </w:tc>
        <w:tc>
          <w:tcPr>
            <w:tcW w:w="1665" w:type="dxa"/>
          </w:tcPr>
          <w:p w14:paraId="629CBF11" w14:textId="404C20DA" w:rsidR="00D16EC0" w:rsidRPr="00BF1B19" w:rsidRDefault="00D16EC0" w:rsidP="00526AD9">
            <w:pPr>
              <w:pStyle w:val="TableParagraph"/>
              <w:spacing w:before="0" w:after="240"/>
              <w:ind w:left="0"/>
            </w:pPr>
            <w:r w:rsidRPr="00BF1B19">
              <w:t>None.</w:t>
            </w:r>
          </w:p>
        </w:tc>
        <w:tc>
          <w:tcPr>
            <w:tcW w:w="1665" w:type="dxa"/>
          </w:tcPr>
          <w:p w14:paraId="325AD142" w14:textId="43952B67" w:rsidR="00D16EC0" w:rsidRPr="00BF1B19" w:rsidRDefault="00D16EC0" w:rsidP="00526AD9">
            <w:pPr>
              <w:pStyle w:val="TableParagraph"/>
              <w:spacing w:before="0" w:after="240"/>
              <w:ind w:left="0"/>
            </w:pPr>
            <w:r w:rsidRPr="00BF1B19">
              <w:t>None.</w:t>
            </w:r>
          </w:p>
        </w:tc>
        <w:tc>
          <w:tcPr>
            <w:tcW w:w="1665" w:type="dxa"/>
          </w:tcPr>
          <w:p w14:paraId="611AA1E6" w14:textId="4CAEF0F3" w:rsidR="00D16EC0" w:rsidRPr="00BF1B19" w:rsidRDefault="00D16EC0" w:rsidP="00526AD9">
            <w:pPr>
              <w:pStyle w:val="TableParagraph"/>
              <w:spacing w:before="0" w:after="240"/>
              <w:ind w:left="0"/>
            </w:pPr>
            <w:r w:rsidRPr="00BF1B19">
              <w:t>None.</w:t>
            </w:r>
          </w:p>
        </w:tc>
        <w:tc>
          <w:tcPr>
            <w:tcW w:w="1708" w:type="dxa"/>
          </w:tcPr>
          <w:p w14:paraId="55C1D4FD" w14:textId="6E5E6EA5" w:rsidR="00D16EC0" w:rsidRPr="00BF1B19" w:rsidRDefault="00D16EC0" w:rsidP="00526AD9">
            <w:pPr>
              <w:pStyle w:val="TableParagraph"/>
              <w:tabs>
                <w:tab w:val="left" w:pos="544"/>
                <w:tab w:val="left" w:pos="1328"/>
              </w:tabs>
              <w:spacing w:before="0" w:after="240"/>
              <w:ind w:left="0"/>
            </w:pPr>
            <w:r w:rsidRPr="00BF1B19">
              <w:t>None.</w:t>
            </w:r>
          </w:p>
        </w:tc>
      </w:tr>
      <w:tr w:rsidR="00D16EC0" w:rsidRPr="00BF1B19" w14:paraId="15CED6FB" w14:textId="77777777" w:rsidTr="00AC1258">
        <w:trPr>
          <w:cantSplit/>
        </w:trPr>
        <w:tc>
          <w:tcPr>
            <w:tcW w:w="1555" w:type="dxa"/>
          </w:tcPr>
          <w:p w14:paraId="1157FBBE" w14:textId="4DF93BE0" w:rsidR="00D16EC0" w:rsidRPr="00BF1B19" w:rsidRDefault="00D16EC0" w:rsidP="00526AD9">
            <w:pPr>
              <w:pStyle w:val="TableParagraph"/>
              <w:tabs>
                <w:tab w:val="left" w:pos="1278"/>
              </w:tabs>
              <w:spacing w:before="0" w:after="240"/>
              <w:ind w:left="0"/>
              <w:rPr>
                <w:b/>
              </w:rPr>
            </w:pPr>
            <w:r w:rsidRPr="00BF1B19">
              <w:rPr>
                <w:b/>
              </w:rPr>
              <w:t>Minimum Initial Investment</w:t>
            </w:r>
          </w:p>
        </w:tc>
        <w:tc>
          <w:tcPr>
            <w:tcW w:w="1665" w:type="dxa"/>
          </w:tcPr>
          <w:p w14:paraId="7761702D" w14:textId="5D111826" w:rsidR="00D16EC0" w:rsidRPr="00BF1B19" w:rsidRDefault="00D16EC0" w:rsidP="00526AD9">
            <w:pPr>
              <w:pStyle w:val="TableParagraph"/>
              <w:spacing w:before="0" w:after="240"/>
              <w:ind w:left="0"/>
            </w:pPr>
            <w:proofErr w:type="spellStart"/>
            <w:r w:rsidRPr="00A1648F">
              <w:t>US$10,000</w:t>
            </w:r>
            <w:proofErr w:type="spellEnd"/>
            <w:r w:rsidRPr="00A1648F">
              <w:t>.</w:t>
            </w:r>
          </w:p>
        </w:tc>
        <w:tc>
          <w:tcPr>
            <w:tcW w:w="1665" w:type="dxa"/>
          </w:tcPr>
          <w:p w14:paraId="70196B7A" w14:textId="03CA88AE" w:rsidR="00D16EC0" w:rsidRPr="00BF1B19" w:rsidRDefault="00D16EC0" w:rsidP="00526AD9">
            <w:pPr>
              <w:pStyle w:val="TableParagraph"/>
              <w:tabs>
                <w:tab w:val="left" w:pos="1325"/>
              </w:tabs>
              <w:spacing w:before="0" w:after="240"/>
              <w:ind w:left="0"/>
            </w:pPr>
            <w:proofErr w:type="spellStart"/>
            <w:r w:rsidRPr="00BF1B19">
              <w:t>US$1,000,000</w:t>
            </w:r>
            <w:proofErr w:type="spellEnd"/>
            <w:r w:rsidRPr="00BF1B19">
              <w:t xml:space="preserve"> (or its equivalent in the relevant currency denomination of the Class).</w:t>
            </w:r>
          </w:p>
        </w:tc>
        <w:tc>
          <w:tcPr>
            <w:tcW w:w="1665" w:type="dxa"/>
          </w:tcPr>
          <w:p w14:paraId="1A3D0E59" w14:textId="27159B48" w:rsidR="00D16EC0" w:rsidRPr="00BF1B19" w:rsidRDefault="00D16EC0" w:rsidP="00526AD9">
            <w:pPr>
              <w:pStyle w:val="TableParagraph"/>
              <w:spacing w:before="0" w:after="240"/>
              <w:ind w:left="0"/>
            </w:pPr>
            <w:proofErr w:type="spellStart"/>
            <w:r w:rsidRPr="00BF1B19">
              <w:t>US$10,000</w:t>
            </w:r>
            <w:proofErr w:type="spellEnd"/>
            <w:r w:rsidRPr="00BF1B19">
              <w:t xml:space="preserve"> (or its equivalent in the relevant currency denomination of the Class).</w:t>
            </w:r>
          </w:p>
        </w:tc>
        <w:tc>
          <w:tcPr>
            <w:tcW w:w="1665" w:type="dxa"/>
          </w:tcPr>
          <w:p w14:paraId="335C3CE2" w14:textId="73D847C3" w:rsidR="00D16EC0" w:rsidRPr="00BF1B19" w:rsidRDefault="00D16EC0" w:rsidP="00526AD9">
            <w:pPr>
              <w:pStyle w:val="TableParagraph"/>
              <w:spacing w:before="0" w:after="240"/>
              <w:ind w:left="0"/>
            </w:pPr>
            <w:proofErr w:type="spellStart"/>
            <w:r w:rsidRPr="00A1648F">
              <w:t>GBP10,000</w:t>
            </w:r>
            <w:proofErr w:type="spellEnd"/>
            <w:r w:rsidRPr="00A1648F">
              <w:t>.</w:t>
            </w:r>
          </w:p>
        </w:tc>
        <w:tc>
          <w:tcPr>
            <w:tcW w:w="1708" w:type="dxa"/>
          </w:tcPr>
          <w:p w14:paraId="749867B1" w14:textId="34608002" w:rsidR="00D16EC0" w:rsidRPr="00BF1B19" w:rsidRDefault="003431CD" w:rsidP="00526AD9">
            <w:pPr>
              <w:pStyle w:val="TableParagraph"/>
              <w:tabs>
                <w:tab w:val="left" w:pos="544"/>
                <w:tab w:val="left" w:pos="1328"/>
              </w:tabs>
              <w:spacing w:before="0" w:after="240"/>
              <w:ind w:left="0"/>
            </w:pPr>
            <w:proofErr w:type="spellStart"/>
            <w:r>
              <w:t>E</w:t>
            </w:r>
            <w:r w:rsidR="00460FD6">
              <w:t>UR</w:t>
            </w:r>
            <w:r w:rsidR="00D16EC0" w:rsidRPr="00A1648F">
              <w:t>10,000</w:t>
            </w:r>
            <w:proofErr w:type="spellEnd"/>
            <w:r w:rsidR="00D16EC0" w:rsidRPr="00A1648F">
              <w:t>.</w:t>
            </w:r>
          </w:p>
        </w:tc>
      </w:tr>
      <w:tr w:rsidR="00D16EC0" w:rsidRPr="00BF1B19" w14:paraId="08601CF6" w14:textId="77777777" w:rsidTr="00AC1258">
        <w:trPr>
          <w:cantSplit/>
        </w:trPr>
        <w:tc>
          <w:tcPr>
            <w:tcW w:w="1555" w:type="dxa"/>
          </w:tcPr>
          <w:p w14:paraId="6E3ECE4E" w14:textId="1ADD045A" w:rsidR="00D16EC0" w:rsidRPr="00BF1B19" w:rsidRDefault="00D16EC0" w:rsidP="00526AD9">
            <w:pPr>
              <w:pStyle w:val="TableParagraph"/>
              <w:tabs>
                <w:tab w:val="left" w:pos="1278"/>
              </w:tabs>
              <w:spacing w:before="0" w:after="240"/>
              <w:ind w:left="0"/>
              <w:rPr>
                <w:b/>
              </w:rPr>
            </w:pPr>
            <w:r w:rsidRPr="00BF1B19">
              <w:rPr>
                <w:b/>
              </w:rPr>
              <w:lastRenderedPageBreak/>
              <w:t>Minimum Subsequent Investment</w:t>
            </w:r>
          </w:p>
        </w:tc>
        <w:tc>
          <w:tcPr>
            <w:tcW w:w="1665" w:type="dxa"/>
          </w:tcPr>
          <w:p w14:paraId="7A7D7753" w14:textId="56CE3A7C" w:rsidR="00D16EC0" w:rsidRPr="00BF1B19" w:rsidRDefault="00D16EC0" w:rsidP="00526AD9">
            <w:pPr>
              <w:pStyle w:val="TableParagraph"/>
              <w:spacing w:before="0" w:after="240"/>
              <w:ind w:left="0"/>
            </w:pPr>
            <w:proofErr w:type="spellStart"/>
            <w:r w:rsidRPr="00A1648F">
              <w:t>US$100</w:t>
            </w:r>
            <w:proofErr w:type="spellEnd"/>
            <w:r w:rsidRPr="00A1648F">
              <w:t>.</w:t>
            </w:r>
          </w:p>
        </w:tc>
        <w:tc>
          <w:tcPr>
            <w:tcW w:w="1665" w:type="dxa"/>
          </w:tcPr>
          <w:p w14:paraId="3A57A80F" w14:textId="185804F5" w:rsidR="00D16EC0" w:rsidRPr="00BF1B19" w:rsidRDefault="00D16EC0" w:rsidP="00526AD9">
            <w:pPr>
              <w:pStyle w:val="TableParagraph"/>
              <w:tabs>
                <w:tab w:val="left" w:pos="1325"/>
              </w:tabs>
              <w:spacing w:before="0" w:after="240"/>
              <w:ind w:left="0"/>
            </w:pPr>
            <w:proofErr w:type="spellStart"/>
            <w:r w:rsidRPr="00BF1B19">
              <w:t>US$100</w:t>
            </w:r>
            <w:proofErr w:type="spellEnd"/>
            <w:r w:rsidRPr="00BF1B19">
              <w:t xml:space="preserve"> (or its equivalent in the relevant currency denomination of the Class).</w:t>
            </w:r>
          </w:p>
        </w:tc>
        <w:tc>
          <w:tcPr>
            <w:tcW w:w="1665" w:type="dxa"/>
          </w:tcPr>
          <w:p w14:paraId="4FD7197F" w14:textId="03C2F08B" w:rsidR="00D16EC0" w:rsidRPr="00BF1B19" w:rsidRDefault="00D16EC0" w:rsidP="00526AD9">
            <w:pPr>
              <w:pStyle w:val="TableParagraph"/>
              <w:spacing w:before="0" w:after="240"/>
              <w:ind w:left="0"/>
            </w:pPr>
            <w:proofErr w:type="spellStart"/>
            <w:r w:rsidRPr="00BF1B19">
              <w:t>US$100</w:t>
            </w:r>
            <w:proofErr w:type="spellEnd"/>
            <w:r w:rsidRPr="00BF1B19">
              <w:t xml:space="preserve"> (or its equivalent in the relevant currency denomination of the Class).</w:t>
            </w:r>
          </w:p>
        </w:tc>
        <w:tc>
          <w:tcPr>
            <w:tcW w:w="1665" w:type="dxa"/>
          </w:tcPr>
          <w:p w14:paraId="09F9F302" w14:textId="40A690D9" w:rsidR="00D16EC0" w:rsidRPr="00BF1B19" w:rsidRDefault="00D16EC0" w:rsidP="00526AD9">
            <w:pPr>
              <w:pStyle w:val="TableParagraph"/>
              <w:spacing w:before="0" w:after="240"/>
              <w:ind w:left="0"/>
            </w:pPr>
            <w:proofErr w:type="spellStart"/>
            <w:r w:rsidRPr="00A1648F">
              <w:t>GBP1,000</w:t>
            </w:r>
            <w:proofErr w:type="spellEnd"/>
            <w:r w:rsidRPr="00A1648F">
              <w:t>.</w:t>
            </w:r>
          </w:p>
        </w:tc>
        <w:tc>
          <w:tcPr>
            <w:tcW w:w="1708" w:type="dxa"/>
          </w:tcPr>
          <w:p w14:paraId="54EC4D58" w14:textId="3D7B3D12" w:rsidR="00D16EC0" w:rsidRPr="00BF1B19" w:rsidRDefault="003431CD" w:rsidP="00526AD9">
            <w:pPr>
              <w:pStyle w:val="TableParagraph"/>
              <w:tabs>
                <w:tab w:val="left" w:pos="759"/>
                <w:tab w:val="left" w:pos="1337"/>
              </w:tabs>
              <w:spacing w:before="0" w:after="240"/>
              <w:ind w:left="0"/>
            </w:pPr>
            <w:proofErr w:type="spellStart"/>
            <w:r>
              <w:t>E</w:t>
            </w:r>
            <w:r w:rsidR="00460FD6">
              <w:t>UR</w:t>
            </w:r>
            <w:r w:rsidR="00D16EC0" w:rsidRPr="00A1648F">
              <w:t>100</w:t>
            </w:r>
            <w:proofErr w:type="spellEnd"/>
            <w:r w:rsidR="00D16EC0" w:rsidRPr="00A1648F">
              <w:t>.</w:t>
            </w:r>
          </w:p>
        </w:tc>
      </w:tr>
      <w:tr w:rsidR="00D16EC0" w:rsidRPr="00BF1B19" w14:paraId="683FD569" w14:textId="77777777" w:rsidTr="00AC1258">
        <w:trPr>
          <w:cantSplit/>
        </w:trPr>
        <w:tc>
          <w:tcPr>
            <w:tcW w:w="1555" w:type="dxa"/>
          </w:tcPr>
          <w:p w14:paraId="40BCA904" w14:textId="6BA9E4C5" w:rsidR="00D16EC0" w:rsidRPr="00BF1B19" w:rsidRDefault="00D16EC0" w:rsidP="00526AD9">
            <w:pPr>
              <w:pStyle w:val="TableParagraph"/>
              <w:tabs>
                <w:tab w:val="left" w:pos="1278"/>
              </w:tabs>
              <w:spacing w:before="0" w:after="240"/>
              <w:ind w:left="0"/>
              <w:rPr>
                <w:b/>
              </w:rPr>
            </w:pPr>
            <w:r w:rsidRPr="00BF1B19">
              <w:rPr>
                <w:b/>
              </w:rPr>
              <w:t>Minimum Holding</w:t>
            </w:r>
          </w:p>
        </w:tc>
        <w:tc>
          <w:tcPr>
            <w:tcW w:w="1665" w:type="dxa"/>
          </w:tcPr>
          <w:p w14:paraId="20ACD06D" w14:textId="4BB6D339" w:rsidR="00D16EC0" w:rsidRPr="00BF1B19" w:rsidRDefault="00D16EC0" w:rsidP="00526AD9">
            <w:pPr>
              <w:pStyle w:val="TableParagraph"/>
              <w:spacing w:before="0" w:after="240"/>
              <w:ind w:left="0"/>
            </w:pPr>
            <w:proofErr w:type="spellStart"/>
            <w:r w:rsidRPr="00A1648F">
              <w:t>US$100</w:t>
            </w:r>
            <w:proofErr w:type="spellEnd"/>
            <w:r w:rsidRPr="00A1648F">
              <w:t>.</w:t>
            </w:r>
          </w:p>
        </w:tc>
        <w:tc>
          <w:tcPr>
            <w:tcW w:w="1665" w:type="dxa"/>
          </w:tcPr>
          <w:p w14:paraId="20C4B480" w14:textId="57D3F1C3" w:rsidR="00D16EC0" w:rsidRPr="00BF1B19" w:rsidRDefault="00D16EC0" w:rsidP="00526AD9">
            <w:pPr>
              <w:pStyle w:val="TableParagraph"/>
              <w:tabs>
                <w:tab w:val="left" w:pos="1325"/>
              </w:tabs>
              <w:spacing w:before="0" w:after="240"/>
              <w:ind w:left="0"/>
            </w:pPr>
            <w:proofErr w:type="spellStart"/>
            <w:r w:rsidRPr="00BF1B19">
              <w:t>US$100</w:t>
            </w:r>
            <w:proofErr w:type="spellEnd"/>
            <w:r w:rsidRPr="00BF1B19">
              <w:t xml:space="preserve"> (or its equivalent in the relevant currency denomination of the Class).</w:t>
            </w:r>
          </w:p>
        </w:tc>
        <w:tc>
          <w:tcPr>
            <w:tcW w:w="1665" w:type="dxa"/>
          </w:tcPr>
          <w:p w14:paraId="354D503E" w14:textId="78EEAEF6" w:rsidR="00D16EC0" w:rsidRPr="00BF1B19" w:rsidRDefault="00D16EC0" w:rsidP="00526AD9">
            <w:pPr>
              <w:pStyle w:val="TableParagraph"/>
              <w:spacing w:before="0" w:after="240"/>
              <w:ind w:left="0"/>
            </w:pPr>
            <w:proofErr w:type="spellStart"/>
            <w:r w:rsidRPr="00BF1B19">
              <w:t>US$100</w:t>
            </w:r>
            <w:proofErr w:type="spellEnd"/>
            <w:r w:rsidRPr="00BF1B19">
              <w:t xml:space="preserve"> (or its equivalent in the relevant currency denomination of the Class).</w:t>
            </w:r>
          </w:p>
        </w:tc>
        <w:tc>
          <w:tcPr>
            <w:tcW w:w="1665" w:type="dxa"/>
          </w:tcPr>
          <w:p w14:paraId="720C27C6" w14:textId="3FD20E9E" w:rsidR="00D16EC0" w:rsidRPr="00BF1B19" w:rsidRDefault="00D16EC0" w:rsidP="00526AD9">
            <w:pPr>
              <w:pStyle w:val="TableParagraph"/>
              <w:spacing w:before="0" w:after="240"/>
              <w:ind w:left="0"/>
            </w:pPr>
            <w:proofErr w:type="spellStart"/>
            <w:r w:rsidRPr="00A1648F">
              <w:t>GBP1,000</w:t>
            </w:r>
            <w:proofErr w:type="spellEnd"/>
            <w:r w:rsidRPr="00A1648F">
              <w:t>.</w:t>
            </w:r>
          </w:p>
        </w:tc>
        <w:tc>
          <w:tcPr>
            <w:tcW w:w="1708" w:type="dxa"/>
          </w:tcPr>
          <w:p w14:paraId="575EBB2F" w14:textId="26E2DA22" w:rsidR="00D16EC0" w:rsidRPr="00BF1B19" w:rsidRDefault="003431CD" w:rsidP="00526AD9">
            <w:pPr>
              <w:pStyle w:val="TableParagraph"/>
              <w:tabs>
                <w:tab w:val="left" w:pos="759"/>
                <w:tab w:val="left" w:pos="1337"/>
              </w:tabs>
              <w:spacing w:before="0" w:after="240"/>
              <w:ind w:left="0"/>
            </w:pPr>
            <w:proofErr w:type="spellStart"/>
            <w:r>
              <w:t>E</w:t>
            </w:r>
            <w:r w:rsidR="00460FD6">
              <w:t>UR</w:t>
            </w:r>
            <w:r w:rsidR="00D16EC0" w:rsidRPr="00A1648F">
              <w:t>100</w:t>
            </w:r>
            <w:proofErr w:type="spellEnd"/>
            <w:r w:rsidR="00D16EC0" w:rsidRPr="00A1648F">
              <w:t>.</w:t>
            </w:r>
          </w:p>
        </w:tc>
      </w:tr>
    </w:tbl>
    <w:p w14:paraId="1A5999C6" w14:textId="77777777" w:rsidR="00E17641" w:rsidRPr="00BF1B19" w:rsidRDefault="00E17641" w:rsidP="00745689">
      <w:pPr>
        <w:pStyle w:val="BodyText"/>
        <w:spacing w:before="8"/>
      </w:pPr>
    </w:p>
    <w:p w14:paraId="4025943F" w14:textId="7ED70CB7" w:rsidR="00E17641" w:rsidRPr="00BF1B19" w:rsidRDefault="00E17641" w:rsidP="005F28D3">
      <w:pPr>
        <w:pStyle w:val="BodyText"/>
        <w:ind w:left="720"/>
        <w:jc w:val="both"/>
      </w:pPr>
      <w:bookmarkStart w:id="64" w:name="_Hlk35449859"/>
      <w:r w:rsidRPr="00BF1B19">
        <w:t xml:space="preserve">The Directors </w:t>
      </w:r>
      <w:r w:rsidR="00592C40" w:rsidRPr="00BF1B19">
        <w:t>will treat</w:t>
      </w:r>
      <w:r w:rsidR="00691911" w:rsidRPr="00BF1B19">
        <w:t xml:space="preserve"> all</w:t>
      </w:r>
      <w:r w:rsidRPr="00BF1B19">
        <w:t xml:space="preserve"> Shareholders </w:t>
      </w:r>
      <w:r w:rsidR="00592C40" w:rsidRPr="00BF1B19">
        <w:t xml:space="preserve">fairly </w:t>
      </w:r>
      <w:r w:rsidRPr="00BF1B19">
        <w:t>and</w:t>
      </w:r>
      <w:r w:rsidR="00592C40" w:rsidRPr="00BF1B19">
        <w:t xml:space="preserve"> equally</w:t>
      </w:r>
      <w:r w:rsidRPr="00BF1B19">
        <w:t xml:space="preserve"> </w:t>
      </w:r>
      <w:r w:rsidR="00592C40" w:rsidRPr="00BF1B19">
        <w:t xml:space="preserve">when deciding to </w:t>
      </w:r>
      <w:r w:rsidRPr="00BF1B19">
        <w:t xml:space="preserve">waive or reduce the Minimum Holding, Minimum Initial Investment, and Minimum Subsequent Investment for any Shareholders or to refuse an application for any Shares in their absolute discretion. The Directors can waive any Redemption, Subscription, or Exchange, Conversion or Switching Fee </w:t>
      </w:r>
      <w:r w:rsidR="00592C40" w:rsidRPr="00BF1B19">
        <w:t>(</w:t>
      </w:r>
      <w:r w:rsidRPr="00BF1B19">
        <w:t>set out above</w:t>
      </w:r>
      <w:r w:rsidR="00592C40" w:rsidRPr="00BF1B19">
        <w:t xml:space="preserve">) </w:t>
      </w:r>
      <w:r w:rsidR="008F1FD8" w:rsidRPr="00BF1B19">
        <w:t xml:space="preserve">at individual </w:t>
      </w:r>
      <w:r w:rsidR="00B42A25" w:rsidRPr="00BF1B19">
        <w:t>S</w:t>
      </w:r>
      <w:r w:rsidR="008F1FD8" w:rsidRPr="00BF1B19">
        <w:t>hareholder level</w:t>
      </w:r>
      <w:r w:rsidRPr="00BF1B19">
        <w:t xml:space="preserve"> in their absolute </w:t>
      </w:r>
      <w:proofErr w:type="gramStart"/>
      <w:r w:rsidRPr="00BF1B19">
        <w:t>discretion</w:t>
      </w:r>
      <w:r w:rsidR="00B42A25" w:rsidRPr="00BF1B19">
        <w:t>, but</w:t>
      </w:r>
      <w:proofErr w:type="gramEnd"/>
      <w:r w:rsidR="00B42A25" w:rsidRPr="00BF1B19">
        <w:t xml:space="preserve"> will treat all Shareholders fairly and equally</w:t>
      </w:r>
      <w:r w:rsidRPr="00BF1B19">
        <w:t>.</w:t>
      </w:r>
      <w:r w:rsidR="003137D6" w:rsidRPr="00BF1B19">
        <w:t xml:space="preserve"> </w:t>
      </w:r>
      <w:bookmarkEnd w:id="64"/>
    </w:p>
    <w:p w14:paraId="0DA7437D" w14:textId="77777777" w:rsidR="003D1F22" w:rsidRPr="00BF1B19" w:rsidRDefault="003D1F22" w:rsidP="005F28D3">
      <w:pPr>
        <w:pStyle w:val="BodyText"/>
        <w:ind w:left="720"/>
        <w:jc w:val="both"/>
      </w:pPr>
    </w:p>
    <w:p w14:paraId="7CB51A1D" w14:textId="77777777" w:rsidR="00E17641" w:rsidRPr="00BF1B19" w:rsidRDefault="00E17641" w:rsidP="005F28D3">
      <w:pPr>
        <w:pStyle w:val="BodyText"/>
        <w:ind w:left="720"/>
        <w:jc w:val="both"/>
      </w:pPr>
      <w:r w:rsidRPr="00BF1B19">
        <w:t>Additional classes of Shares may be created in accordance with the requirements of the Central Bank.</w:t>
      </w:r>
    </w:p>
    <w:p w14:paraId="4AB7B396" w14:textId="52D49B5F" w:rsidR="00E17641" w:rsidRPr="00BF1B19" w:rsidRDefault="00E17641" w:rsidP="005F28D3">
      <w:pPr>
        <w:pStyle w:val="BodyText"/>
        <w:ind w:left="720"/>
        <w:jc w:val="both"/>
        <w:rPr>
          <w:sz w:val="17"/>
        </w:rPr>
      </w:pPr>
    </w:p>
    <w:p w14:paraId="04714E73" w14:textId="77777777" w:rsidR="00E17641" w:rsidRPr="00BF1B19" w:rsidRDefault="00E17641" w:rsidP="00745689">
      <w:pPr>
        <w:pStyle w:val="BodyText"/>
        <w:keepNext/>
        <w:spacing w:after="240"/>
        <w:ind w:left="720"/>
        <w:rPr>
          <w:b/>
          <w:bCs/>
        </w:rPr>
      </w:pPr>
      <w:r w:rsidRPr="00BF1B19">
        <w:rPr>
          <w:b/>
          <w:bCs/>
        </w:rPr>
        <w:t>Platform Fee</w:t>
      </w:r>
    </w:p>
    <w:p w14:paraId="395EDE6B" w14:textId="77777777" w:rsidR="00E17641" w:rsidRPr="00BF1B19" w:rsidRDefault="00E17641" w:rsidP="005F28D3">
      <w:pPr>
        <w:pStyle w:val="BodyText"/>
        <w:ind w:left="720"/>
        <w:jc w:val="both"/>
      </w:pPr>
      <w:r w:rsidRPr="00BF1B19">
        <w:t>The Investment Manager receives the Platform Fee as part of its services to the Fund.</w:t>
      </w:r>
    </w:p>
    <w:p w14:paraId="07878963" w14:textId="77777777" w:rsidR="00E17641" w:rsidRPr="00BF1B19" w:rsidRDefault="00E17641" w:rsidP="005F28D3">
      <w:pPr>
        <w:pStyle w:val="BodyText"/>
        <w:ind w:left="720"/>
        <w:jc w:val="both"/>
      </w:pPr>
    </w:p>
    <w:p w14:paraId="75AE5E9F" w14:textId="77777777" w:rsidR="00E17641" w:rsidRPr="00BF1B19" w:rsidRDefault="00E17641" w:rsidP="00745689">
      <w:pPr>
        <w:pStyle w:val="BodyText"/>
        <w:keepNext/>
        <w:spacing w:after="240"/>
        <w:ind w:left="720"/>
        <w:rPr>
          <w:b/>
          <w:bCs/>
        </w:rPr>
      </w:pPr>
      <w:r w:rsidRPr="00BF1B19">
        <w:rPr>
          <w:b/>
          <w:bCs/>
        </w:rPr>
        <w:t>Fees of Manager, Investment Manager and Sub-Investment Manager</w:t>
      </w:r>
    </w:p>
    <w:p w14:paraId="3251E921" w14:textId="77777777" w:rsidR="00E17641" w:rsidRPr="00BF1B19" w:rsidRDefault="00E17641" w:rsidP="005F28D3">
      <w:pPr>
        <w:pStyle w:val="BodyText"/>
        <w:ind w:left="720"/>
        <w:jc w:val="both"/>
      </w:pPr>
      <w:r w:rsidRPr="00BF1B19">
        <w:t>The fee of the Manager is set out later in this document.</w:t>
      </w:r>
    </w:p>
    <w:p w14:paraId="0B697759" w14:textId="77777777" w:rsidR="00E17641" w:rsidRPr="00BF1B19" w:rsidRDefault="00E17641" w:rsidP="005F28D3">
      <w:pPr>
        <w:pStyle w:val="BodyText"/>
        <w:ind w:left="720"/>
        <w:jc w:val="both"/>
      </w:pPr>
    </w:p>
    <w:p w14:paraId="68145B6F" w14:textId="77777777" w:rsidR="00E17641" w:rsidRPr="00BF1B19" w:rsidRDefault="00E17641" w:rsidP="005F28D3">
      <w:pPr>
        <w:pStyle w:val="BodyText"/>
        <w:ind w:left="720"/>
        <w:jc w:val="both"/>
      </w:pPr>
      <w:r w:rsidRPr="00BF1B19">
        <w:t>In addition to the Platform Fee, the fee of the Investment Manager is paid out of the assets of the Fund. The fee of the Sub-Investment Manager is paid out of the Investment Manager’s fee. Further information is set out later in this document.</w:t>
      </w:r>
    </w:p>
    <w:p w14:paraId="7004A3D0" w14:textId="77777777" w:rsidR="00E17641" w:rsidRPr="00BF1B19" w:rsidRDefault="00E17641" w:rsidP="005F28D3">
      <w:pPr>
        <w:pStyle w:val="BodyText"/>
        <w:ind w:left="720"/>
        <w:jc w:val="both"/>
      </w:pPr>
    </w:p>
    <w:p w14:paraId="7D0D5161" w14:textId="77777777" w:rsidR="00E17641" w:rsidRPr="00BF1B19" w:rsidRDefault="00E17641" w:rsidP="00745689">
      <w:pPr>
        <w:pStyle w:val="BodyText"/>
        <w:keepNext/>
        <w:spacing w:after="240"/>
        <w:ind w:left="720"/>
        <w:rPr>
          <w:b/>
        </w:rPr>
      </w:pPr>
      <w:r w:rsidRPr="00BF1B19">
        <w:rPr>
          <w:b/>
        </w:rPr>
        <w:t>Contingent Deferred Subscription Charge (“</w:t>
      </w:r>
      <w:proofErr w:type="spellStart"/>
      <w:r w:rsidRPr="00BF1B19">
        <w:rPr>
          <w:b/>
        </w:rPr>
        <w:t>CDSC</w:t>
      </w:r>
      <w:proofErr w:type="spellEnd"/>
      <w:r w:rsidRPr="00BF1B19">
        <w:rPr>
          <w:b/>
        </w:rPr>
        <w:t>”)</w:t>
      </w:r>
    </w:p>
    <w:p w14:paraId="254E7048" w14:textId="489C8434" w:rsidR="00E17641" w:rsidRPr="00BF1B19" w:rsidRDefault="00E17641" w:rsidP="005F28D3">
      <w:pPr>
        <w:pStyle w:val="BodyText"/>
        <w:ind w:left="720"/>
        <w:jc w:val="both"/>
      </w:pPr>
      <w:r w:rsidRPr="00BF1B19">
        <w:t>This charge is relevant to Class J.</w:t>
      </w:r>
      <w:r w:rsidR="001B7991" w:rsidRPr="00BF1B19" w:rsidDel="001B7991">
        <w:t xml:space="preserve"> </w:t>
      </w:r>
      <w:r w:rsidRPr="00BF1B19">
        <w:t xml:space="preserve">Shareholders in Class J in this Fund will not be subject to a subscription fee upon subscribing for Shares in this Class. However, Shareholders in Class J may be subject to a </w:t>
      </w:r>
      <w:proofErr w:type="spellStart"/>
      <w:r w:rsidRPr="00BF1B19">
        <w:t>CDSC</w:t>
      </w:r>
      <w:proofErr w:type="spellEnd"/>
      <w:r w:rsidRPr="00BF1B19">
        <w:t xml:space="preserve"> which shall be payable to the Investment Manager. The rate of </w:t>
      </w:r>
      <w:proofErr w:type="spellStart"/>
      <w:r w:rsidRPr="00BF1B19">
        <w:t>CDSC</w:t>
      </w:r>
      <w:proofErr w:type="spellEnd"/>
      <w:r w:rsidRPr="00BF1B19">
        <w:t xml:space="preserve"> which may be charged will be applied on a scale of up to a maximum of 5% of the net subscription amount.</w:t>
      </w:r>
    </w:p>
    <w:p w14:paraId="4D3631E7" w14:textId="77777777" w:rsidR="00E17641" w:rsidRPr="00BF1B19" w:rsidRDefault="00E17641" w:rsidP="005F28D3">
      <w:pPr>
        <w:pStyle w:val="BodyText"/>
        <w:ind w:left="720"/>
        <w:jc w:val="both"/>
      </w:pPr>
    </w:p>
    <w:p w14:paraId="33254A27" w14:textId="1B0FD2E0" w:rsidR="00E17641" w:rsidRPr="00BF1B19" w:rsidRDefault="00E17641" w:rsidP="005F28D3">
      <w:pPr>
        <w:pStyle w:val="BodyText"/>
        <w:ind w:left="720"/>
        <w:jc w:val="both"/>
      </w:pPr>
      <w:r w:rsidRPr="00BF1B19">
        <w:t xml:space="preserve">Redemptions made on or before the twelfth (12th) month-end after the subscription for the relevant Shares will be subject to a </w:t>
      </w:r>
      <w:proofErr w:type="spellStart"/>
      <w:r w:rsidRPr="00BF1B19">
        <w:t>CDSC</w:t>
      </w:r>
      <w:proofErr w:type="spellEnd"/>
      <w:r w:rsidRPr="00BF1B19">
        <w:t xml:space="preserve"> of 5% of the Net Asset Value of such redeemed Shares. The </w:t>
      </w:r>
      <w:proofErr w:type="spellStart"/>
      <w:r w:rsidRPr="00BF1B19">
        <w:t>CDSC</w:t>
      </w:r>
      <w:proofErr w:type="spellEnd"/>
      <w:r w:rsidRPr="00BF1B19">
        <w:t xml:space="preserve"> will decrease by 1% after each subsequent twelfth (12th) calendar month-end after the subscription for the relevant Shares being redeemed. There will be no Redemption Fee on Sha</w:t>
      </w:r>
      <w:r w:rsidR="00236D44" w:rsidRPr="00BF1B19">
        <w:t>res redeemed after the sixth (6</w:t>
      </w:r>
      <w:r w:rsidRPr="00BF1B19">
        <w:t>th) month-end after subscription for the relevant Shares being redeemed.</w:t>
      </w:r>
    </w:p>
    <w:p w14:paraId="389A8ED6" w14:textId="77777777" w:rsidR="00E17641" w:rsidRPr="00BF1B19" w:rsidRDefault="00E17641" w:rsidP="005F28D3">
      <w:pPr>
        <w:pStyle w:val="BodyText"/>
        <w:ind w:left="720"/>
        <w:jc w:val="both"/>
      </w:pPr>
    </w:p>
    <w:p w14:paraId="1C668B53" w14:textId="4919A1BC" w:rsidR="00E17641" w:rsidRPr="00BF1B19" w:rsidRDefault="00E17641" w:rsidP="00745689">
      <w:pPr>
        <w:pStyle w:val="BodyText"/>
        <w:keepNext/>
        <w:spacing w:after="240"/>
        <w:ind w:left="720"/>
        <w:rPr>
          <w:b/>
        </w:rPr>
      </w:pPr>
      <w:bookmarkStart w:id="65" w:name="_Hlk32938682"/>
      <w:r w:rsidRPr="00BF1B19">
        <w:rPr>
          <w:b/>
          <w:bCs/>
        </w:rPr>
        <w:t xml:space="preserve">The Initial Offer Period </w:t>
      </w:r>
    </w:p>
    <w:bookmarkEnd w:id="65"/>
    <w:p w14:paraId="6939C94A" w14:textId="123F677B" w:rsidR="00FD76CE" w:rsidRPr="00BF1B19" w:rsidRDefault="00FD76CE" w:rsidP="005F28D3">
      <w:pPr>
        <w:pStyle w:val="BodyText"/>
        <w:ind w:left="720"/>
        <w:jc w:val="both"/>
      </w:pPr>
      <w:r w:rsidRPr="00BF1B19">
        <w:t>The Initial Offer Period for all Cl</w:t>
      </w:r>
      <w:r w:rsidR="008D5F7F" w:rsidRPr="00BF1B19">
        <w:t xml:space="preserve">asses ended on </w:t>
      </w:r>
      <w:r w:rsidR="00910E1A">
        <w:t xml:space="preserve">or before </w:t>
      </w:r>
      <w:r w:rsidR="00C843C9" w:rsidRPr="00A1648F">
        <w:t>the date of this Supplement</w:t>
      </w:r>
      <w:r w:rsidR="008D5F7F" w:rsidRPr="00BF1B19">
        <w:t>.</w:t>
      </w:r>
    </w:p>
    <w:p w14:paraId="6FF9E5DE" w14:textId="77777777" w:rsidR="00E17641" w:rsidRPr="00BF1B19" w:rsidRDefault="00E17641" w:rsidP="005F28D3">
      <w:pPr>
        <w:pStyle w:val="BodyText"/>
        <w:jc w:val="both"/>
      </w:pPr>
    </w:p>
    <w:p w14:paraId="60F46A4F" w14:textId="77777777" w:rsidR="00E17641" w:rsidRPr="00BF1B19" w:rsidRDefault="00E17641" w:rsidP="00745689">
      <w:pPr>
        <w:pStyle w:val="BodyText"/>
        <w:keepNext/>
        <w:spacing w:after="240"/>
        <w:ind w:left="720"/>
        <w:rPr>
          <w:b/>
          <w:bCs/>
        </w:rPr>
      </w:pPr>
      <w:r w:rsidRPr="00BF1B19">
        <w:rPr>
          <w:b/>
          <w:bCs/>
        </w:rPr>
        <w:t>Issue Price for all Classes</w:t>
      </w:r>
    </w:p>
    <w:p w14:paraId="14FED599" w14:textId="25719614" w:rsidR="00C843C9" w:rsidRPr="00A1648F" w:rsidRDefault="00C843C9" w:rsidP="005F28D3">
      <w:pPr>
        <w:pStyle w:val="BodyText"/>
        <w:ind w:left="720"/>
        <w:jc w:val="both"/>
      </w:pPr>
      <w:r w:rsidRPr="00A1648F">
        <w:t xml:space="preserve">During the Initial Offer Period, the Initial Issue Price for all Classes in the Fund </w:t>
      </w:r>
      <w:bookmarkStart w:id="66" w:name="_Hlk174973234"/>
      <w:r w:rsidRPr="00A1648F">
        <w:t xml:space="preserve">is 100.00 </w:t>
      </w:r>
      <w:r w:rsidR="00DF13AA">
        <w:t xml:space="preserve">in </w:t>
      </w:r>
      <w:r w:rsidR="00F14052" w:rsidRPr="00A1648F">
        <w:t xml:space="preserve">the relevant currency </w:t>
      </w:r>
      <w:r w:rsidR="00F14052">
        <w:t xml:space="preserve">of </w:t>
      </w:r>
      <w:r w:rsidR="00F14052" w:rsidRPr="00A1648F">
        <w:t xml:space="preserve">denomination of the </w:t>
      </w:r>
      <w:r w:rsidR="00F14052">
        <w:t xml:space="preserve">relevant </w:t>
      </w:r>
      <w:r w:rsidR="00F14052" w:rsidRPr="00A1648F">
        <w:t>Class</w:t>
      </w:r>
      <w:r w:rsidR="00982EC6">
        <w:t xml:space="preserve"> as set out </w:t>
      </w:r>
      <w:r w:rsidR="00982EC6" w:rsidRPr="00A1648F">
        <w:t>in the table under section headed “Key Information for Subscribing and Redeeming – Share Classes”</w:t>
      </w:r>
      <w:r w:rsidR="00F14052">
        <w:t xml:space="preserve"> </w:t>
      </w:r>
      <w:r w:rsidRPr="00A1648F">
        <w:t>per Share</w:t>
      </w:r>
      <w:bookmarkEnd w:id="66"/>
      <w:r w:rsidRPr="00A1648F">
        <w:t>.</w:t>
      </w:r>
      <w:r w:rsidR="00BA6FE8">
        <w:t xml:space="preserve"> </w:t>
      </w:r>
    </w:p>
    <w:p w14:paraId="0F5510E6" w14:textId="77777777" w:rsidR="00C843C9" w:rsidRPr="00A1648F" w:rsidRDefault="00C843C9" w:rsidP="005F28D3">
      <w:pPr>
        <w:pStyle w:val="BodyText"/>
      </w:pPr>
    </w:p>
    <w:p w14:paraId="421DFD0D" w14:textId="7F731353" w:rsidR="00E17641" w:rsidRPr="00BF1B19" w:rsidRDefault="00C843C9" w:rsidP="005F28D3">
      <w:pPr>
        <w:pStyle w:val="BodyText"/>
        <w:ind w:left="720"/>
        <w:jc w:val="both"/>
      </w:pPr>
      <w:r w:rsidRPr="00A1648F">
        <w:t>After the Initial Offer Period, the</w:t>
      </w:r>
      <w:r w:rsidR="00E17641" w:rsidRPr="00BF1B19">
        <w:t xml:space="preserve"> Issue Price for all Classes in the Fund is </w:t>
      </w:r>
      <w:r w:rsidR="0042196B">
        <w:t xml:space="preserve">the </w:t>
      </w:r>
      <w:r w:rsidR="00E17641" w:rsidRPr="00BF1B19">
        <w:t>Net Asset Value per Share of the relevant Class.</w:t>
      </w:r>
    </w:p>
    <w:p w14:paraId="1381BF9B" w14:textId="77777777" w:rsidR="00E17641" w:rsidRPr="00BF1B19" w:rsidRDefault="00E17641" w:rsidP="005F28D3">
      <w:pPr>
        <w:pStyle w:val="BodyText"/>
        <w:ind w:left="720"/>
        <w:jc w:val="both"/>
      </w:pPr>
    </w:p>
    <w:p w14:paraId="73A055A7" w14:textId="77777777" w:rsidR="00E17641" w:rsidRPr="00BF1B19" w:rsidRDefault="00E17641" w:rsidP="00745689">
      <w:pPr>
        <w:keepNext/>
        <w:spacing w:after="240"/>
        <w:ind w:left="720"/>
        <w:rPr>
          <w:b/>
        </w:rPr>
      </w:pPr>
      <w:r w:rsidRPr="00BF1B19">
        <w:rPr>
          <w:b/>
          <w:bCs/>
        </w:rPr>
        <w:lastRenderedPageBreak/>
        <w:t>Minimum Fund Size</w:t>
      </w:r>
    </w:p>
    <w:p w14:paraId="2D3042A9" w14:textId="77777777" w:rsidR="00E17641" w:rsidRPr="00BF1B19" w:rsidRDefault="00E17641" w:rsidP="00745689">
      <w:pPr>
        <w:pStyle w:val="BodyText"/>
        <w:ind w:left="720"/>
        <w:jc w:val="both"/>
      </w:pPr>
      <w:r w:rsidRPr="00BF1B19">
        <w:t>USD 5 million.</w:t>
      </w:r>
    </w:p>
    <w:p w14:paraId="2F7A1494" w14:textId="77777777" w:rsidR="00E17641" w:rsidRPr="00BF1B19" w:rsidRDefault="00E17641" w:rsidP="005F28D3">
      <w:pPr>
        <w:pStyle w:val="BodyText"/>
        <w:ind w:left="720"/>
        <w:rPr>
          <w:sz w:val="17"/>
        </w:rPr>
      </w:pPr>
    </w:p>
    <w:p w14:paraId="79743AAB" w14:textId="77777777" w:rsidR="00E17641" w:rsidRPr="00BF1B19" w:rsidRDefault="00E17641" w:rsidP="00745689">
      <w:pPr>
        <w:keepNext/>
        <w:spacing w:after="240"/>
        <w:ind w:left="720"/>
        <w:rPr>
          <w:b/>
        </w:rPr>
      </w:pPr>
      <w:r w:rsidRPr="00BF1B19">
        <w:rPr>
          <w:b/>
        </w:rPr>
        <w:t>Business Day</w:t>
      </w:r>
    </w:p>
    <w:p w14:paraId="2370DD49" w14:textId="77777777" w:rsidR="00E17641" w:rsidRPr="00BF1B19" w:rsidRDefault="00E17641" w:rsidP="00745689">
      <w:pPr>
        <w:pStyle w:val="BodyText"/>
        <w:ind w:left="720"/>
        <w:jc w:val="both"/>
      </w:pPr>
      <w:r w:rsidRPr="00BF1B19">
        <w:t>Any day on which the London</w:t>
      </w:r>
      <w:r w:rsidR="007B6FA6" w:rsidRPr="00BF1B19">
        <w:t>,</w:t>
      </w:r>
      <w:r w:rsidRPr="00BF1B19">
        <w:t xml:space="preserve"> Dublin</w:t>
      </w:r>
      <w:r w:rsidR="00625F5A" w:rsidRPr="00BF1B19">
        <w:t xml:space="preserve"> &amp;</w:t>
      </w:r>
      <w:r w:rsidR="007B6FA6" w:rsidRPr="00BF1B19">
        <w:t xml:space="preserve"> Shanghai</w:t>
      </w:r>
      <w:r w:rsidRPr="00BF1B19">
        <w:t xml:space="preserve"> Stock Exchange are open for business.</w:t>
      </w:r>
    </w:p>
    <w:p w14:paraId="3BE5FFE1" w14:textId="77777777" w:rsidR="00E17641" w:rsidRPr="00BF1B19" w:rsidRDefault="00E17641" w:rsidP="005F28D3">
      <w:pPr>
        <w:pStyle w:val="BodyText"/>
        <w:ind w:left="720"/>
        <w:rPr>
          <w:sz w:val="17"/>
        </w:rPr>
      </w:pPr>
    </w:p>
    <w:p w14:paraId="019623B9" w14:textId="77777777" w:rsidR="00E17641" w:rsidRPr="00BF1B19" w:rsidRDefault="00E17641" w:rsidP="00745689">
      <w:pPr>
        <w:keepNext/>
        <w:spacing w:after="240"/>
        <w:ind w:left="720"/>
        <w:rPr>
          <w:b/>
        </w:rPr>
      </w:pPr>
      <w:r w:rsidRPr="00BF1B19">
        <w:rPr>
          <w:b/>
        </w:rPr>
        <w:t>Dealing Day</w:t>
      </w:r>
    </w:p>
    <w:p w14:paraId="2C1E07AE" w14:textId="77777777" w:rsidR="00E17641" w:rsidRPr="00BF1B19" w:rsidRDefault="00E17641" w:rsidP="005F28D3">
      <w:pPr>
        <w:pStyle w:val="BodyText"/>
        <w:ind w:left="720"/>
        <w:jc w:val="both"/>
      </w:pPr>
      <w:r w:rsidRPr="00BF1B19">
        <w:t>Shares may be purchased or redeemed weekly. The Dealing Day for Subscriptions and Redemptions is the Friday of every week and where such Friday is not a Business Day, the Business Day immediately following.</w:t>
      </w:r>
    </w:p>
    <w:p w14:paraId="17197069" w14:textId="77777777" w:rsidR="00E17641" w:rsidRPr="00BF1B19" w:rsidRDefault="00E17641" w:rsidP="005F28D3">
      <w:pPr>
        <w:pStyle w:val="BodyText"/>
        <w:ind w:left="720"/>
      </w:pPr>
    </w:p>
    <w:p w14:paraId="45FA2996" w14:textId="77777777" w:rsidR="00E17641" w:rsidRPr="00BF1B19" w:rsidRDefault="00E17641" w:rsidP="00745689">
      <w:pPr>
        <w:keepNext/>
        <w:spacing w:after="240"/>
        <w:ind w:left="720"/>
        <w:rPr>
          <w:b/>
        </w:rPr>
      </w:pPr>
      <w:r w:rsidRPr="00BF1B19">
        <w:rPr>
          <w:b/>
        </w:rPr>
        <w:t>Dealing Deadline</w:t>
      </w:r>
    </w:p>
    <w:p w14:paraId="6DC5C72B" w14:textId="613CCF3E" w:rsidR="00E17641" w:rsidRPr="00BF1B19" w:rsidRDefault="00E17641" w:rsidP="005F28D3">
      <w:pPr>
        <w:pStyle w:val="BodyText"/>
        <w:ind w:left="720"/>
        <w:jc w:val="both"/>
      </w:pPr>
      <w:r w:rsidRPr="00BF1B19">
        <w:t xml:space="preserve">The Dealing Deadline is 16:00 </w:t>
      </w:r>
      <w:r w:rsidR="00F259CC" w:rsidRPr="00BF1B19">
        <w:t>(</w:t>
      </w:r>
      <w:r w:rsidRPr="00BF1B19">
        <w:t>UK time</w:t>
      </w:r>
      <w:r w:rsidR="00F259CC" w:rsidRPr="00BF1B19">
        <w:t>)</w:t>
      </w:r>
      <w:r w:rsidRPr="00BF1B19">
        <w:t xml:space="preserve"> on the day three Business Days immediately preceding the relevant Dealing Day or such other day or time as the Directors may determine provided the Shareholders are notified in advance and it is prior to the relevant Valuation Point.</w:t>
      </w:r>
    </w:p>
    <w:p w14:paraId="5776BCAC" w14:textId="77777777" w:rsidR="00E17641" w:rsidRPr="00BF1B19" w:rsidRDefault="00E17641" w:rsidP="00745689">
      <w:pPr>
        <w:pStyle w:val="BodyText"/>
        <w:ind w:left="720"/>
      </w:pPr>
    </w:p>
    <w:p w14:paraId="0130FCA9" w14:textId="77777777" w:rsidR="00E17641" w:rsidRPr="00BF1B19" w:rsidRDefault="00E17641" w:rsidP="00745689">
      <w:pPr>
        <w:keepNext/>
        <w:spacing w:after="240"/>
        <w:ind w:left="720"/>
        <w:rPr>
          <w:b/>
        </w:rPr>
      </w:pPr>
      <w:bookmarkStart w:id="67" w:name="_Hlk72243800"/>
      <w:r w:rsidRPr="00BF1B19">
        <w:rPr>
          <w:b/>
        </w:rPr>
        <w:t>Valuation Point</w:t>
      </w:r>
    </w:p>
    <w:p w14:paraId="3C9A8D35" w14:textId="79F94664" w:rsidR="00E17641" w:rsidRPr="00BF1B19" w:rsidRDefault="00547426" w:rsidP="005F28D3">
      <w:pPr>
        <w:pStyle w:val="BodyText"/>
        <w:ind w:left="720"/>
        <w:jc w:val="both"/>
        <w:rPr>
          <w:b/>
          <w:bCs/>
        </w:rPr>
      </w:pPr>
      <w:r w:rsidRPr="00BF1B19">
        <w:t xml:space="preserve">The Valuation Point is the latest close of business of </w:t>
      </w:r>
      <w:proofErr w:type="gramStart"/>
      <w:r w:rsidRPr="00BF1B19">
        <w:t>all of</w:t>
      </w:r>
      <w:proofErr w:type="gramEnd"/>
      <w:r w:rsidRPr="00BF1B19">
        <w:t xml:space="preserve"> the exchanges on which the assets of the Fund are traded or have exposure to on the Business Day immediately preceding the Dealing Day or such other day or time as may be determined by the Directors and approved by the Depositary</w:t>
      </w:r>
      <w:r w:rsidR="00E17641" w:rsidRPr="00BF1B19">
        <w:t>.</w:t>
      </w:r>
      <w:r w:rsidR="00F40484" w:rsidRPr="00BF1B19">
        <w:t xml:space="preserve"> </w:t>
      </w:r>
    </w:p>
    <w:bookmarkEnd w:id="67"/>
    <w:p w14:paraId="102808E4" w14:textId="77777777" w:rsidR="00E17641" w:rsidRPr="00BF1B19" w:rsidRDefault="00E17641" w:rsidP="005F28D3">
      <w:pPr>
        <w:pStyle w:val="BodyText"/>
        <w:ind w:left="720"/>
        <w:rPr>
          <w:sz w:val="17"/>
        </w:rPr>
      </w:pPr>
    </w:p>
    <w:p w14:paraId="6AE9D61D" w14:textId="77777777" w:rsidR="00E17641" w:rsidRPr="00BF1B19" w:rsidRDefault="00E17641" w:rsidP="00745689">
      <w:pPr>
        <w:keepNext/>
        <w:spacing w:after="240"/>
        <w:ind w:left="720"/>
        <w:rPr>
          <w:b/>
        </w:rPr>
      </w:pPr>
      <w:r w:rsidRPr="00BF1B19">
        <w:rPr>
          <w:b/>
        </w:rPr>
        <w:t>Settlement Date</w:t>
      </w:r>
    </w:p>
    <w:p w14:paraId="3D041D1F" w14:textId="7CB22E6A" w:rsidR="00E17641" w:rsidRPr="00BF1B19" w:rsidRDefault="00E17641" w:rsidP="005F28D3">
      <w:pPr>
        <w:pStyle w:val="BodyText"/>
        <w:ind w:left="720"/>
        <w:jc w:val="both"/>
      </w:pPr>
      <w:r w:rsidRPr="00BF1B19">
        <w:t xml:space="preserve">The Settlement Date for the receipt of monies for subscription for Shares shall be </w:t>
      </w:r>
      <w:r w:rsidR="00000F23" w:rsidRPr="00BF1B19">
        <w:t xml:space="preserve">1 </w:t>
      </w:r>
      <w:r w:rsidRPr="00BF1B19">
        <w:t xml:space="preserve">Business Day </w:t>
      </w:r>
      <w:r w:rsidR="00990ED3" w:rsidRPr="00BF1B19">
        <w:t>prior to</w:t>
      </w:r>
      <w:r w:rsidR="00000F23" w:rsidRPr="00BF1B19">
        <w:t xml:space="preserve"> </w:t>
      </w:r>
      <w:r w:rsidRPr="00BF1B19">
        <w:t xml:space="preserve">the relevant Dealing Day. The Settlement Date for the dispatch of monies for the redemption of Shares shall be </w:t>
      </w:r>
      <w:r w:rsidR="00625F5A" w:rsidRPr="00BF1B19">
        <w:t>7</w:t>
      </w:r>
      <w:r w:rsidRPr="00BF1B19">
        <w:t xml:space="preserve"> Business Days following the relevant Dealing Day provided that all the required documentation, including anti-money laundering documentation, has been furnished to and received by the Administrator.</w:t>
      </w:r>
    </w:p>
    <w:p w14:paraId="61DE05C7" w14:textId="77777777" w:rsidR="00E17641" w:rsidRPr="00BF1B19" w:rsidRDefault="00E17641" w:rsidP="00745689">
      <w:pPr>
        <w:pStyle w:val="BodyText"/>
        <w:ind w:left="720"/>
        <w:rPr>
          <w:sz w:val="22"/>
        </w:rPr>
      </w:pPr>
    </w:p>
    <w:p w14:paraId="1D908321" w14:textId="1D34E734" w:rsidR="00E17641" w:rsidRPr="00BF1B19" w:rsidRDefault="00E17641" w:rsidP="00745689">
      <w:pPr>
        <w:pStyle w:val="Level1"/>
        <w:keepNext/>
        <w:tabs>
          <w:tab w:val="clear" w:pos="851"/>
        </w:tabs>
        <w:ind w:left="720" w:hanging="720"/>
      </w:pPr>
      <w:r w:rsidRPr="00BF1B19">
        <w:rPr>
          <w:rStyle w:val="Level1asHeadingtext"/>
        </w:rPr>
        <w:t>HOW TO SUBSCRIBE FOR SHARES</w:t>
      </w:r>
      <w:bookmarkStart w:id="68" w:name="_NN12"/>
      <w:bookmarkEnd w:id="68"/>
      <w:r w:rsidR="00DA2E2B" w:rsidRPr="00BF1B19">
        <w:fldChar w:fldCharType="begin"/>
      </w:r>
      <w:r w:rsidR="00DA2E2B" w:rsidRPr="00BF1B19">
        <w:instrText xml:space="preserve"> TC "</w:instrText>
      </w:r>
      <w:r w:rsidR="00DA2E2B" w:rsidRPr="00BF1B19">
        <w:fldChar w:fldCharType="begin"/>
      </w:r>
      <w:r w:rsidR="00DA2E2B" w:rsidRPr="00BF1B19">
        <w:instrText xml:space="preserve"> REF _NN12\r \h </w:instrText>
      </w:r>
      <w:r w:rsidR="00D8760C" w:rsidRPr="00BF1B19">
        <w:instrText xml:space="preserve"> \* MERGEFORMAT </w:instrText>
      </w:r>
      <w:r w:rsidR="00DA2E2B" w:rsidRPr="00BF1B19">
        <w:fldChar w:fldCharType="separate"/>
      </w:r>
      <w:bookmarkStart w:id="69" w:name="_Toc98334755"/>
      <w:bookmarkStart w:id="70" w:name="_Toc172121816"/>
      <w:bookmarkStart w:id="71" w:name="_Toc191388735"/>
      <w:r w:rsidR="00860B2D">
        <w:instrText>11</w:instrText>
      </w:r>
      <w:r w:rsidR="00DA2E2B" w:rsidRPr="00BF1B19">
        <w:fldChar w:fldCharType="end"/>
      </w:r>
      <w:r w:rsidR="00DA2E2B" w:rsidRPr="00BF1B19">
        <w:tab/>
        <w:instrText>HOW TO SUBSCRIBE FOR SHARES</w:instrText>
      </w:r>
      <w:bookmarkEnd w:id="69"/>
      <w:bookmarkEnd w:id="70"/>
      <w:bookmarkEnd w:id="71"/>
      <w:r w:rsidR="00DA2E2B" w:rsidRPr="00BF1B19">
        <w:instrText xml:space="preserve">" \l 1 </w:instrText>
      </w:r>
      <w:r w:rsidR="00DA2E2B" w:rsidRPr="00BF1B19">
        <w:fldChar w:fldCharType="end"/>
      </w:r>
    </w:p>
    <w:p w14:paraId="4C0348AD" w14:textId="24786561" w:rsidR="00E17641" w:rsidRPr="00BF1B19" w:rsidRDefault="00E17641" w:rsidP="005F28D3">
      <w:pPr>
        <w:pStyle w:val="BodyText"/>
        <w:ind w:left="720"/>
        <w:jc w:val="both"/>
        <w:rPr>
          <w:bCs/>
        </w:rPr>
      </w:pPr>
      <w:r w:rsidRPr="00BF1B19">
        <w:t xml:space="preserve">Requests for the subscription for Shares should be made in accordance with the provisions set out in the section entitled </w:t>
      </w:r>
      <w:r w:rsidR="008C315E" w:rsidRPr="00BF1B19">
        <w:t>“</w:t>
      </w:r>
      <w:r w:rsidRPr="00BF1B19">
        <w:rPr>
          <w:bCs/>
        </w:rPr>
        <w:t>Subscription for Shares</w:t>
      </w:r>
      <w:r w:rsidR="008C315E" w:rsidRPr="00BF1B19">
        <w:rPr>
          <w:bCs/>
        </w:rPr>
        <w:t>”</w:t>
      </w:r>
      <w:r w:rsidR="00CD0E28" w:rsidRPr="00BF1B19">
        <w:rPr>
          <w:bCs/>
        </w:rPr>
        <w:t xml:space="preserve"> </w:t>
      </w:r>
      <w:r w:rsidR="00CD0E28" w:rsidRPr="00BF1B19">
        <w:t>in the Prospectus</w:t>
      </w:r>
      <w:r w:rsidRPr="00BF1B19">
        <w:rPr>
          <w:bCs/>
        </w:rPr>
        <w:t>.</w:t>
      </w:r>
    </w:p>
    <w:p w14:paraId="3507FDD3" w14:textId="77777777" w:rsidR="00E17641" w:rsidRPr="00BF1B19" w:rsidRDefault="00E17641" w:rsidP="00745689">
      <w:pPr>
        <w:pStyle w:val="BodyText"/>
        <w:ind w:left="720"/>
        <w:rPr>
          <w:sz w:val="22"/>
        </w:rPr>
      </w:pPr>
    </w:p>
    <w:p w14:paraId="0EA14D7D" w14:textId="574E7387" w:rsidR="00E17641" w:rsidRPr="00BF1B19" w:rsidRDefault="00E17641" w:rsidP="00745689">
      <w:pPr>
        <w:pStyle w:val="Level1"/>
        <w:keepNext/>
        <w:tabs>
          <w:tab w:val="clear" w:pos="851"/>
        </w:tabs>
        <w:ind w:left="720" w:hanging="720"/>
      </w:pPr>
      <w:r w:rsidRPr="00BF1B19">
        <w:rPr>
          <w:rStyle w:val="Level1asHeadingtext"/>
        </w:rPr>
        <w:t>HOW TO REDEEM SHARES</w:t>
      </w:r>
      <w:bookmarkStart w:id="72" w:name="_NN13"/>
      <w:bookmarkEnd w:id="72"/>
      <w:r w:rsidR="00DA2E2B" w:rsidRPr="00BF1B19">
        <w:fldChar w:fldCharType="begin"/>
      </w:r>
      <w:r w:rsidR="00DA2E2B" w:rsidRPr="00BF1B19">
        <w:instrText xml:space="preserve"> TC "</w:instrText>
      </w:r>
      <w:r w:rsidR="00DA2E2B" w:rsidRPr="00BF1B19">
        <w:fldChar w:fldCharType="begin"/>
      </w:r>
      <w:r w:rsidR="00DA2E2B" w:rsidRPr="00BF1B19">
        <w:instrText xml:space="preserve"> REF _NN13\r \h </w:instrText>
      </w:r>
      <w:r w:rsidR="00D8760C" w:rsidRPr="00BF1B19">
        <w:instrText xml:space="preserve"> \* MERGEFORMAT </w:instrText>
      </w:r>
      <w:r w:rsidR="00DA2E2B" w:rsidRPr="00BF1B19">
        <w:fldChar w:fldCharType="separate"/>
      </w:r>
      <w:bookmarkStart w:id="73" w:name="_Toc98334756"/>
      <w:bookmarkStart w:id="74" w:name="_Toc172121817"/>
      <w:bookmarkStart w:id="75" w:name="_Toc191388736"/>
      <w:r w:rsidR="00860B2D">
        <w:instrText>12</w:instrText>
      </w:r>
      <w:r w:rsidR="00DA2E2B" w:rsidRPr="00BF1B19">
        <w:fldChar w:fldCharType="end"/>
      </w:r>
      <w:r w:rsidR="00DA2E2B" w:rsidRPr="00BF1B19">
        <w:tab/>
        <w:instrText>HOW TO REDEEM SHARES</w:instrText>
      </w:r>
      <w:bookmarkEnd w:id="73"/>
      <w:bookmarkEnd w:id="74"/>
      <w:bookmarkEnd w:id="75"/>
      <w:r w:rsidR="00DA2E2B" w:rsidRPr="00BF1B19">
        <w:instrText xml:space="preserve">" \l 1 </w:instrText>
      </w:r>
      <w:r w:rsidR="00DA2E2B" w:rsidRPr="00BF1B19">
        <w:fldChar w:fldCharType="end"/>
      </w:r>
    </w:p>
    <w:p w14:paraId="2715AE00" w14:textId="5F6F12C1" w:rsidR="00E17641" w:rsidRPr="00BF1B19" w:rsidRDefault="00E17641" w:rsidP="005F28D3">
      <w:pPr>
        <w:pStyle w:val="BodyText"/>
        <w:ind w:left="720"/>
        <w:jc w:val="both"/>
      </w:pPr>
      <w:r w:rsidRPr="00BF1B19">
        <w:t xml:space="preserve">Requests for the redemption of Shares should be made in accordance with the provisions set out in the section entitled </w:t>
      </w:r>
      <w:r w:rsidR="002C4497" w:rsidRPr="00BF1B19">
        <w:t>“</w:t>
      </w:r>
      <w:r w:rsidRPr="00BF1B19">
        <w:t>Redemption of Shares</w:t>
      </w:r>
      <w:r w:rsidR="002C4497" w:rsidRPr="00BF1B19">
        <w:t>”</w:t>
      </w:r>
      <w:r w:rsidR="00CD0E28" w:rsidRPr="00BF1B19">
        <w:t xml:space="preserve"> in the Prospectus</w:t>
      </w:r>
      <w:r w:rsidRPr="00BF1B19">
        <w:t>.</w:t>
      </w:r>
    </w:p>
    <w:p w14:paraId="05C0ECED" w14:textId="77777777" w:rsidR="00E17641" w:rsidRPr="00BF1B19" w:rsidRDefault="00E17641" w:rsidP="005F28D3">
      <w:pPr>
        <w:pStyle w:val="BodyText"/>
        <w:ind w:left="720"/>
        <w:jc w:val="both"/>
        <w:rPr>
          <w:sz w:val="17"/>
        </w:rPr>
      </w:pPr>
    </w:p>
    <w:p w14:paraId="554DF90B" w14:textId="77777777" w:rsidR="00E17641" w:rsidRPr="00BF1B19" w:rsidRDefault="00E17641" w:rsidP="00745689">
      <w:pPr>
        <w:pStyle w:val="BodyText"/>
        <w:ind w:left="720"/>
        <w:jc w:val="both"/>
      </w:pPr>
      <w:r w:rsidRPr="00BF1B19">
        <w:t>Redemption requests must be made in terms of number of Shares rather than requesting a cash amount.</w:t>
      </w:r>
    </w:p>
    <w:p w14:paraId="2B57F6A3" w14:textId="77777777" w:rsidR="00E17641" w:rsidRPr="00BF1B19" w:rsidRDefault="00E17641" w:rsidP="00745689">
      <w:pPr>
        <w:pStyle w:val="BodyText"/>
        <w:ind w:left="720"/>
        <w:jc w:val="both"/>
        <w:rPr>
          <w:sz w:val="22"/>
        </w:rPr>
      </w:pPr>
    </w:p>
    <w:p w14:paraId="689D844F" w14:textId="25F78443" w:rsidR="00E17641" w:rsidRPr="00BF1B19" w:rsidRDefault="00E17641" w:rsidP="00745689">
      <w:pPr>
        <w:pStyle w:val="Level1"/>
        <w:keepNext/>
        <w:tabs>
          <w:tab w:val="clear" w:pos="851"/>
        </w:tabs>
        <w:ind w:left="720" w:hanging="720"/>
      </w:pPr>
      <w:r w:rsidRPr="00BF1B19">
        <w:rPr>
          <w:rStyle w:val="Level1asHeadingtext"/>
        </w:rPr>
        <w:t>ANTI-MONEY LAUNDERING</w:t>
      </w:r>
      <w:bookmarkStart w:id="76" w:name="_NN14"/>
      <w:bookmarkEnd w:id="76"/>
      <w:r w:rsidR="00DA2E2B" w:rsidRPr="00BF1B19">
        <w:fldChar w:fldCharType="begin"/>
      </w:r>
      <w:r w:rsidR="00DA2E2B" w:rsidRPr="00BF1B19">
        <w:instrText xml:space="preserve"> TC "</w:instrText>
      </w:r>
      <w:r w:rsidR="00DA2E2B" w:rsidRPr="00BF1B19">
        <w:fldChar w:fldCharType="begin"/>
      </w:r>
      <w:r w:rsidR="00DA2E2B" w:rsidRPr="00BF1B19">
        <w:instrText xml:space="preserve"> REF _NN14\r \h </w:instrText>
      </w:r>
      <w:r w:rsidR="00D8760C" w:rsidRPr="00BF1B19">
        <w:instrText xml:space="preserve"> \* MERGEFORMAT </w:instrText>
      </w:r>
      <w:r w:rsidR="00DA2E2B" w:rsidRPr="00BF1B19">
        <w:fldChar w:fldCharType="separate"/>
      </w:r>
      <w:bookmarkStart w:id="77" w:name="_Toc98334757"/>
      <w:bookmarkStart w:id="78" w:name="_Toc172121818"/>
      <w:bookmarkStart w:id="79" w:name="_Toc191388737"/>
      <w:r w:rsidR="00860B2D">
        <w:instrText>13</w:instrText>
      </w:r>
      <w:r w:rsidR="00DA2E2B" w:rsidRPr="00BF1B19">
        <w:fldChar w:fldCharType="end"/>
      </w:r>
      <w:r w:rsidR="00DA2E2B" w:rsidRPr="00BF1B19">
        <w:tab/>
        <w:instrText>ANTI-MONEY LAUNDERING</w:instrText>
      </w:r>
      <w:bookmarkEnd w:id="77"/>
      <w:bookmarkEnd w:id="78"/>
      <w:bookmarkEnd w:id="79"/>
      <w:r w:rsidR="00DA2E2B" w:rsidRPr="00BF1B19">
        <w:instrText xml:space="preserve">" \l 1 </w:instrText>
      </w:r>
      <w:r w:rsidR="00DA2E2B" w:rsidRPr="00BF1B19">
        <w:fldChar w:fldCharType="end"/>
      </w:r>
    </w:p>
    <w:p w14:paraId="7DE9B445" w14:textId="77777777" w:rsidR="00E17641" w:rsidRPr="00BF1B19" w:rsidRDefault="00E17641" w:rsidP="005F28D3">
      <w:pPr>
        <w:pStyle w:val="BodyText"/>
        <w:ind w:left="720"/>
        <w:jc w:val="both"/>
      </w:pPr>
      <w:r w:rsidRPr="00BF1B19">
        <w:t>Measures aimed at the prevention of money laundering may require an applicant for Shares to verify their identity to the Administrator. The anti-money laundering provisions set out in the Prospectus apply to this Fund.</w:t>
      </w:r>
    </w:p>
    <w:p w14:paraId="09B5B8A6" w14:textId="77777777" w:rsidR="00E17641" w:rsidRPr="00BF1B19" w:rsidRDefault="00E17641" w:rsidP="00745689">
      <w:pPr>
        <w:pStyle w:val="BodyText"/>
        <w:ind w:left="720"/>
        <w:rPr>
          <w:sz w:val="22"/>
        </w:rPr>
      </w:pPr>
    </w:p>
    <w:p w14:paraId="1FDA756F" w14:textId="5FD93073" w:rsidR="007B26D3" w:rsidRPr="00BF1B19" w:rsidRDefault="00E17641" w:rsidP="00745689">
      <w:pPr>
        <w:pStyle w:val="Level1"/>
        <w:keepNext/>
        <w:tabs>
          <w:tab w:val="clear" w:pos="851"/>
        </w:tabs>
        <w:ind w:left="720" w:hanging="720"/>
      </w:pPr>
      <w:r w:rsidRPr="00BF1B19">
        <w:rPr>
          <w:rStyle w:val="Level1asHeadingtext"/>
        </w:rPr>
        <w:t xml:space="preserve">FEES AND EXPENSES </w:t>
      </w:r>
      <w:bookmarkStart w:id="80" w:name="_NN15"/>
      <w:bookmarkEnd w:id="80"/>
      <w:r w:rsidR="00DA2E2B" w:rsidRPr="00BF1B19">
        <w:fldChar w:fldCharType="begin"/>
      </w:r>
      <w:r w:rsidR="00DA2E2B" w:rsidRPr="00BF1B19">
        <w:instrText xml:space="preserve"> TC "</w:instrText>
      </w:r>
      <w:r w:rsidR="00DA2E2B" w:rsidRPr="00BF1B19">
        <w:fldChar w:fldCharType="begin"/>
      </w:r>
      <w:r w:rsidR="00DA2E2B" w:rsidRPr="00BF1B19">
        <w:instrText xml:space="preserve"> REF _NN15\r \h </w:instrText>
      </w:r>
      <w:r w:rsidR="00D8760C" w:rsidRPr="00BF1B19">
        <w:instrText xml:space="preserve"> \* MERGEFORMAT </w:instrText>
      </w:r>
      <w:r w:rsidR="00DA2E2B" w:rsidRPr="00BF1B19">
        <w:fldChar w:fldCharType="separate"/>
      </w:r>
      <w:bookmarkStart w:id="81" w:name="_Toc98334758"/>
      <w:bookmarkStart w:id="82" w:name="_Toc172121819"/>
      <w:bookmarkStart w:id="83" w:name="_Toc191388738"/>
      <w:r w:rsidR="00860B2D">
        <w:instrText>14</w:instrText>
      </w:r>
      <w:r w:rsidR="00DA2E2B" w:rsidRPr="00BF1B19">
        <w:fldChar w:fldCharType="end"/>
      </w:r>
      <w:r w:rsidR="00DA2E2B" w:rsidRPr="00BF1B19">
        <w:tab/>
        <w:instrText>FEES AND EXPENSES</w:instrText>
      </w:r>
      <w:bookmarkEnd w:id="81"/>
      <w:bookmarkEnd w:id="82"/>
      <w:bookmarkEnd w:id="83"/>
      <w:r w:rsidR="00DA2E2B" w:rsidRPr="00BF1B19">
        <w:instrText xml:space="preserve"> " \l 1 </w:instrText>
      </w:r>
      <w:r w:rsidR="00DA2E2B" w:rsidRPr="00BF1B19">
        <w:fldChar w:fldCharType="end"/>
      </w:r>
    </w:p>
    <w:p w14:paraId="1B797C44" w14:textId="7E8CCB2F" w:rsidR="00E17641" w:rsidRPr="00BF1B19" w:rsidRDefault="00E17641" w:rsidP="00745689">
      <w:pPr>
        <w:keepNext/>
        <w:spacing w:after="240"/>
        <w:ind w:left="720"/>
        <w:rPr>
          <w:b/>
        </w:rPr>
      </w:pPr>
      <w:r w:rsidRPr="00BF1B19">
        <w:rPr>
          <w:b/>
        </w:rPr>
        <w:t>Management Fee</w:t>
      </w:r>
    </w:p>
    <w:p w14:paraId="615CEF3A" w14:textId="77777777" w:rsidR="00A27667" w:rsidRPr="00BF1B19" w:rsidRDefault="00A27667" w:rsidP="005F28D3">
      <w:pPr>
        <w:pStyle w:val="BodyText"/>
        <w:spacing w:after="240"/>
        <w:ind w:left="720"/>
        <w:jc w:val="both"/>
      </w:pPr>
      <w:r w:rsidRPr="00BF1B19">
        <w:t>The Manager shall be entitled to a fee payable out of the assets of the Fund (the “</w:t>
      </w:r>
      <w:r w:rsidRPr="00BF1B19">
        <w:rPr>
          <w:b/>
        </w:rPr>
        <w:t>Management Fee</w:t>
      </w:r>
      <w:r w:rsidRPr="00BF1B19">
        <w:t>”).</w:t>
      </w:r>
    </w:p>
    <w:p w14:paraId="00A157E6" w14:textId="08382929" w:rsidR="00E17641" w:rsidRPr="00BF1B19" w:rsidRDefault="00A27667" w:rsidP="005F28D3">
      <w:pPr>
        <w:pStyle w:val="BodyText"/>
        <w:ind w:left="720"/>
        <w:jc w:val="both"/>
      </w:pPr>
      <w:r w:rsidRPr="00BF1B19">
        <w:t xml:space="preserve">The Management Fee is payable monthly in arrear and is calculated by reference to the Net Asset Value of the Fund as at the Valuation Point in respect of each Dealing Day.  The current Management Fee payable in respect of the Fund is calculated on a sliding scale according to the Net Asset Value of the Fund and is subject to a minimum annual fee of EUR 20,000 per annum: </w:t>
      </w:r>
    </w:p>
    <w:p w14:paraId="48B5C8BA" w14:textId="77777777" w:rsidR="00E17641" w:rsidRPr="00BF1B19" w:rsidRDefault="00E17641" w:rsidP="005F28D3">
      <w:pPr>
        <w:pStyle w:val="BodyText"/>
        <w:ind w:left="720"/>
        <w:rPr>
          <w:sz w:val="16"/>
          <w:highlight w:val="yellow"/>
        </w:rPr>
      </w:pPr>
    </w:p>
    <w:tbl>
      <w:tblPr>
        <w:tblW w:w="0" w:type="auto"/>
        <w:tblInd w:w="720" w:type="dxa"/>
        <w:tblLayout w:type="fixed"/>
        <w:tblCellMar>
          <w:left w:w="0" w:type="dxa"/>
          <w:right w:w="0" w:type="dxa"/>
        </w:tblCellMar>
        <w:tblLook w:val="01E0" w:firstRow="1" w:lastRow="1" w:firstColumn="1" w:lastColumn="1" w:noHBand="0" w:noVBand="0"/>
      </w:tblPr>
      <w:tblGrid>
        <w:gridCol w:w="4223"/>
        <w:gridCol w:w="3291"/>
      </w:tblGrid>
      <w:tr w:rsidR="00A27667" w:rsidRPr="00BF1B19" w14:paraId="3880EEE3" w14:textId="77777777" w:rsidTr="005F28D3">
        <w:trPr>
          <w:cantSplit/>
        </w:trPr>
        <w:tc>
          <w:tcPr>
            <w:tcW w:w="4223" w:type="dxa"/>
          </w:tcPr>
          <w:p w14:paraId="6C4DEE63" w14:textId="77777777" w:rsidR="00A27667" w:rsidRPr="00BF1B19" w:rsidRDefault="00A27667" w:rsidP="005F28D3">
            <w:pPr>
              <w:pStyle w:val="TableParagraph"/>
              <w:spacing w:before="0" w:line="199" w:lineRule="exact"/>
              <w:ind w:left="0"/>
              <w:rPr>
                <w:b/>
              </w:rPr>
            </w:pPr>
            <w:r w:rsidRPr="00BF1B19">
              <w:rPr>
                <w:b/>
              </w:rPr>
              <w:t>NAV</w:t>
            </w:r>
          </w:p>
        </w:tc>
        <w:tc>
          <w:tcPr>
            <w:tcW w:w="3291" w:type="dxa"/>
          </w:tcPr>
          <w:p w14:paraId="04BF432E" w14:textId="77777777" w:rsidR="00A27667" w:rsidRPr="00BF1B19" w:rsidRDefault="00A27667" w:rsidP="00526AD9">
            <w:pPr>
              <w:pStyle w:val="TableParagraph"/>
              <w:spacing w:line="199" w:lineRule="exact"/>
              <w:ind w:left="0"/>
              <w:rPr>
                <w:b/>
              </w:rPr>
            </w:pPr>
            <w:r w:rsidRPr="00BF1B19">
              <w:rPr>
                <w:b/>
              </w:rPr>
              <w:t>% Management Fee</w:t>
            </w:r>
          </w:p>
        </w:tc>
      </w:tr>
      <w:tr w:rsidR="00A27667" w:rsidRPr="00BF1B19" w14:paraId="02EE26BB" w14:textId="77777777" w:rsidTr="005F28D3">
        <w:trPr>
          <w:cantSplit/>
        </w:trPr>
        <w:tc>
          <w:tcPr>
            <w:tcW w:w="4223" w:type="dxa"/>
          </w:tcPr>
          <w:p w14:paraId="455956A0" w14:textId="77777777" w:rsidR="00A27667" w:rsidRPr="00BF1B19" w:rsidRDefault="00A27667" w:rsidP="005F28D3">
            <w:pPr>
              <w:pStyle w:val="TableParagraph"/>
              <w:spacing w:before="0" w:line="198" w:lineRule="exact"/>
              <w:ind w:left="0"/>
            </w:pPr>
            <w:r w:rsidRPr="00BF1B19">
              <w:t>Up to 100 million Euros</w:t>
            </w:r>
          </w:p>
        </w:tc>
        <w:tc>
          <w:tcPr>
            <w:tcW w:w="3291" w:type="dxa"/>
          </w:tcPr>
          <w:p w14:paraId="0F5D2201" w14:textId="77777777" w:rsidR="00A27667" w:rsidRPr="00BF1B19" w:rsidRDefault="00A27667" w:rsidP="00526AD9">
            <w:pPr>
              <w:pStyle w:val="TableParagraph"/>
              <w:spacing w:line="198" w:lineRule="exact"/>
              <w:ind w:left="0"/>
            </w:pPr>
            <w:r w:rsidRPr="00BF1B19">
              <w:t>0.08%</w:t>
            </w:r>
          </w:p>
        </w:tc>
      </w:tr>
      <w:tr w:rsidR="00A27667" w:rsidRPr="00BF1B19" w14:paraId="0A5E7A50" w14:textId="77777777" w:rsidTr="005F28D3">
        <w:trPr>
          <w:cantSplit/>
        </w:trPr>
        <w:tc>
          <w:tcPr>
            <w:tcW w:w="4223" w:type="dxa"/>
          </w:tcPr>
          <w:p w14:paraId="0550876A" w14:textId="77777777" w:rsidR="00A27667" w:rsidRPr="00BF1B19" w:rsidRDefault="00A27667" w:rsidP="005F28D3">
            <w:pPr>
              <w:pStyle w:val="TableParagraph"/>
              <w:spacing w:before="0" w:line="199" w:lineRule="exact"/>
              <w:ind w:left="0"/>
            </w:pPr>
            <w:r w:rsidRPr="00BF1B19">
              <w:t>Greater than 100 million Euros</w:t>
            </w:r>
          </w:p>
        </w:tc>
        <w:tc>
          <w:tcPr>
            <w:tcW w:w="3291" w:type="dxa"/>
          </w:tcPr>
          <w:p w14:paraId="7D6798D1" w14:textId="77777777" w:rsidR="00A27667" w:rsidRPr="00BF1B19" w:rsidRDefault="00A27667" w:rsidP="00526AD9">
            <w:pPr>
              <w:pStyle w:val="TableParagraph"/>
              <w:spacing w:line="199" w:lineRule="exact"/>
              <w:ind w:left="0"/>
            </w:pPr>
            <w:r w:rsidRPr="00BF1B19">
              <w:t>0.04%</w:t>
            </w:r>
          </w:p>
        </w:tc>
      </w:tr>
    </w:tbl>
    <w:p w14:paraId="41FE714E" w14:textId="77777777" w:rsidR="00A27667" w:rsidRPr="00BF1B19" w:rsidRDefault="00A27667" w:rsidP="005F28D3">
      <w:pPr>
        <w:pStyle w:val="BodyText"/>
        <w:spacing w:before="240" w:after="240"/>
        <w:ind w:left="720"/>
        <w:jc w:val="both"/>
      </w:pPr>
      <w:r w:rsidRPr="00BF1B19">
        <w:t>A fee greater than the Management Fee set out in this Supplement may at any time be charged, upon approval of the Shareholders, and in accordance with the requirements of the Central Bank.</w:t>
      </w:r>
    </w:p>
    <w:p w14:paraId="0E8B4398" w14:textId="77777777" w:rsidR="00A27667" w:rsidRPr="00BF1B19" w:rsidRDefault="00A27667" w:rsidP="005F28D3">
      <w:pPr>
        <w:pStyle w:val="BodyText"/>
        <w:spacing w:after="240"/>
        <w:ind w:left="720"/>
        <w:jc w:val="both"/>
      </w:pPr>
      <w:r w:rsidRPr="00BF1B19">
        <w:t>The Manager shall also be reimbursed by the Fund for all fees and properly vouched expenses reasonably incurred by the Manager in the performance of its duties.</w:t>
      </w:r>
    </w:p>
    <w:p w14:paraId="763FD0F3" w14:textId="77777777" w:rsidR="00A27667" w:rsidRPr="00BF1B19" w:rsidRDefault="00A27667" w:rsidP="005F28D3">
      <w:pPr>
        <w:pStyle w:val="BodyText"/>
        <w:ind w:left="720"/>
        <w:jc w:val="both"/>
      </w:pPr>
      <w:r w:rsidRPr="00BF1B19">
        <w:t>Investors should refer to the relevant key investor information document for details of the ongoing charge figure applicable to each class of Shares which represents the current charges applied to that class of Shares.</w:t>
      </w:r>
    </w:p>
    <w:p w14:paraId="35D08E02" w14:textId="77777777" w:rsidR="00E17641" w:rsidRPr="00BF1B19" w:rsidRDefault="00E17641" w:rsidP="005F28D3">
      <w:pPr>
        <w:pStyle w:val="BodyText"/>
        <w:ind w:left="720"/>
      </w:pPr>
    </w:p>
    <w:p w14:paraId="1CE4B154" w14:textId="5C7FC3C8" w:rsidR="00E17641" w:rsidRPr="00BF1B19" w:rsidRDefault="00E17641" w:rsidP="00745689">
      <w:pPr>
        <w:keepNext/>
        <w:spacing w:after="240"/>
        <w:ind w:left="720"/>
        <w:rPr>
          <w:b/>
        </w:rPr>
      </w:pPr>
      <w:r w:rsidRPr="00BF1B19">
        <w:rPr>
          <w:b/>
        </w:rPr>
        <w:t>Investment Manage</w:t>
      </w:r>
      <w:r w:rsidR="00E6090D" w:rsidRPr="00BF1B19">
        <w:rPr>
          <w:b/>
        </w:rPr>
        <w:t>ment</w:t>
      </w:r>
      <w:r w:rsidRPr="00BF1B19">
        <w:rPr>
          <w:b/>
        </w:rPr>
        <w:t xml:space="preserve"> Fee</w:t>
      </w:r>
    </w:p>
    <w:p w14:paraId="4C909C1F" w14:textId="77777777" w:rsidR="00E17641" w:rsidRPr="00BF1B19" w:rsidRDefault="00E17641" w:rsidP="005F28D3">
      <w:pPr>
        <w:pStyle w:val="BodyText"/>
        <w:ind w:left="720"/>
        <w:jc w:val="both"/>
      </w:pPr>
      <w:r w:rsidRPr="00BF1B19">
        <w:t>The Investment Manager shall be entitled to a fee payable out of the assets of the Fund (the “</w:t>
      </w:r>
      <w:r w:rsidRPr="00BF1B19">
        <w:rPr>
          <w:b/>
        </w:rPr>
        <w:t>Investment Management Fee</w:t>
      </w:r>
      <w:r w:rsidRPr="00BF1B19">
        <w:t>”). The Investment Management Fee is payable monthly in arrear and is calculated by reference to the Net Asset Value of the Fund as at each Dealing Day.</w:t>
      </w:r>
    </w:p>
    <w:p w14:paraId="62C23404" w14:textId="77777777" w:rsidR="00E17641" w:rsidRPr="00BF1B19" w:rsidRDefault="00E17641" w:rsidP="005F28D3">
      <w:pPr>
        <w:pStyle w:val="BodyText"/>
        <w:ind w:left="720"/>
        <w:rPr>
          <w:sz w:val="19"/>
        </w:rPr>
      </w:pPr>
    </w:p>
    <w:p w14:paraId="4F5266BA" w14:textId="047BF853" w:rsidR="00E17641" w:rsidRPr="00BF1B19" w:rsidRDefault="00E17641" w:rsidP="005F28D3">
      <w:pPr>
        <w:pStyle w:val="BodyText"/>
        <w:ind w:left="720"/>
        <w:jc w:val="both"/>
      </w:pPr>
      <w:r w:rsidRPr="00BF1B19">
        <w:t xml:space="preserve">The current Investment Management Fee payable in respect of each Class is set out </w:t>
      </w:r>
      <w:r w:rsidR="00E6090D" w:rsidRPr="00BF1B19">
        <w:t>in the table under section headed “Key Information for Subscribing and Redeeming – Share Classes”</w:t>
      </w:r>
      <w:r w:rsidRPr="00BF1B19">
        <w:t>. A fee greater than the Investment Management Fee set out in this Supplement may at any time be charged, upon proper notice to Shareholders, and in accordance with the requirements of the Central Bank.</w:t>
      </w:r>
    </w:p>
    <w:p w14:paraId="273BCF47" w14:textId="77777777" w:rsidR="00E17641" w:rsidRPr="00BF1B19" w:rsidRDefault="00E17641" w:rsidP="005F28D3">
      <w:pPr>
        <w:pStyle w:val="BodyText"/>
        <w:ind w:left="720"/>
        <w:rPr>
          <w:sz w:val="19"/>
        </w:rPr>
      </w:pPr>
    </w:p>
    <w:p w14:paraId="3C8BAB3D" w14:textId="3E757250" w:rsidR="00E17641" w:rsidRPr="00BF1B19" w:rsidRDefault="00E17641" w:rsidP="005F28D3">
      <w:pPr>
        <w:pStyle w:val="BodyText"/>
        <w:ind w:left="720"/>
        <w:jc w:val="both"/>
      </w:pPr>
      <w:r w:rsidRPr="00BF1B19">
        <w:t xml:space="preserve">The Investment Manager shall also be reimbursed by the Fund for all fees and properly vouched expenses reasonably incurred by the </w:t>
      </w:r>
      <w:r w:rsidRPr="00A1648F">
        <w:t xml:space="preserve">Investment </w:t>
      </w:r>
      <w:r w:rsidRPr="00BF1B19">
        <w:t>Manager in the performance of its duties. The Investment Manager's fee will include any fee to which it is entitled to as Distributor. The Investment Manager shall be responsible for paying the fee due to the Sub-Investment Manager.</w:t>
      </w:r>
    </w:p>
    <w:p w14:paraId="553511D5" w14:textId="77777777" w:rsidR="00E17641" w:rsidRPr="00BF1B19" w:rsidRDefault="00E17641" w:rsidP="00745689">
      <w:pPr>
        <w:pStyle w:val="BodyText"/>
        <w:ind w:left="720"/>
        <w:rPr>
          <w:sz w:val="22"/>
        </w:rPr>
      </w:pPr>
    </w:p>
    <w:p w14:paraId="6FFA0DF0" w14:textId="110EF696" w:rsidR="00E17641" w:rsidRPr="00BF1B19" w:rsidRDefault="00E17641" w:rsidP="00745689">
      <w:pPr>
        <w:keepNext/>
        <w:spacing w:after="240"/>
        <w:ind w:left="720"/>
        <w:rPr>
          <w:b/>
        </w:rPr>
      </w:pPr>
      <w:r w:rsidRPr="00BF1B19">
        <w:rPr>
          <w:b/>
        </w:rPr>
        <w:t>Performance Fee</w:t>
      </w:r>
    </w:p>
    <w:p w14:paraId="66F5B02A" w14:textId="028A1361" w:rsidR="00E17641" w:rsidRPr="00BF1B19" w:rsidRDefault="00E17641" w:rsidP="005F28D3">
      <w:pPr>
        <w:pStyle w:val="BodyText"/>
        <w:ind w:left="720"/>
        <w:jc w:val="both"/>
      </w:pPr>
      <w:r w:rsidRPr="00BF1B19">
        <w:t xml:space="preserve">As set out in this Supplement, </w:t>
      </w:r>
      <w:r w:rsidR="00B6496B" w:rsidRPr="00BF1B19">
        <w:t>the accrued</w:t>
      </w:r>
      <w:r w:rsidRPr="00BF1B19">
        <w:t xml:space="preserve"> Performance Fee</w:t>
      </w:r>
      <w:r w:rsidR="00B6496B" w:rsidRPr="00BF1B19">
        <w:t>, if any,</w:t>
      </w:r>
      <w:r w:rsidRPr="00BF1B19">
        <w:t xml:space="preserve"> </w:t>
      </w:r>
      <w:r w:rsidR="00B6496B" w:rsidRPr="00BF1B19">
        <w:t>crystallises and becomes</w:t>
      </w:r>
      <w:r w:rsidRPr="00BF1B19">
        <w:t xml:space="preserve"> payable at the end of each Performance Period to the Investment Manager. The Performance Fee in respect of each Share Class shall be calculated as set out below.</w:t>
      </w:r>
    </w:p>
    <w:p w14:paraId="7A741E62" w14:textId="77777777" w:rsidR="00E17641" w:rsidRPr="00BF1B19" w:rsidRDefault="00E17641" w:rsidP="005F28D3">
      <w:pPr>
        <w:pStyle w:val="BodyText"/>
        <w:ind w:left="720"/>
        <w:rPr>
          <w:sz w:val="19"/>
        </w:rPr>
      </w:pPr>
    </w:p>
    <w:p w14:paraId="7F992993" w14:textId="4510BDB1" w:rsidR="00E17641" w:rsidRPr="00BF1B19" w:rsidRDefault="00E17641" w:rsidP="005F28D3">
      <w:pPr>
        <w:ind w:left="720"/>
        <w:jc w:val="both"/>
      </w:pPr>
      <w:r w:rsidRPr="00BF1B19">
        <w:t>For the purposes of this Supplement</w:t>
      </w:r>
      <w:r w:rsidRPr="00A1648F">
        <w:t xml:space="preserve"> and </w:t>
      </w:r>
      <w:r w:rsidRPr="00BF1B19">
        <w:t>in the context of the Performance Fee</w:t>
      </w:r>
      <w:r w:rsidR="00804016" w:rsidRPr="00A1648F">
        <w:t xml:space="preserve">, </w:t>
      </w:r>
      <w:r w:rsidRPr="00BF1B19">
        <w:rPr>
          <w:b/>
        </w:rPr>
        <w:t xml:space="preserve">“Peak Net Asset Value per Class” </w:t>
      </w:r>
      <w:r w:rsidRPr="00BF1B19">
        <w:t>means, in respect of a Class, the greater of (</w:t>
      </w:r>
      <w:proofErr w:type="spellStart"/>
      <w:r w:rsidRPr="00BF1B19">
        <w:t>i</w:t>
      </w:r>
      <w:proofErr w:type="spellEnd"/>
      <w:r w:rsidRPr="00BF1B19">
        <w:t>) the Net Asset Value (adjusted for capital activity / dividends) of that Class at the close of the Initial Offer Period; and (ii) the highest Net Asset Value of that Class in effect immediately after the end of the previous Performance Period in respect of which a Performance Fee was charged.</w:t>
      </w:r>
    </w:p>
    <w:p w14:paraId="31DCE7BC" w14:textId="77777777" w:rsidR="00E17641" w:rsidRPr="00BF1B19" w:rsidRDefault="00E17641" w:rsidP="005F28D3">
      <w:pPr>
        <w:pStyle w:val="BodyText"/>
        <w:ind w:left="720"/>
        <w:rPr>
          <w:sz w:val="19"/>
        </w:rPr>
      </w:pPr>
    </w:p>
    <w:p w14:paraId="12AF9C87" w14:textId="029609CD" w:rsidR="003C3C2B" w:rsidRPr="00BF1B19" w:rsidRDefault="003C3C2B" w:rsidP="005F28D3">
      <w:pPr>
        <w:pStyle w:val="BodyText"/>
        <w:ind w:left="720"/>
        <w:jc w:val="both"/>
      </w:pPr>
      <w:r w:rsidRPr="00BF1B19">
        <w:t xml:space="preserve">The Investment Manager is entitled to receive a Performance Fee out of the assets attributable to </w:t>
      </w:r>
      <w:r w:rsidRPr="00A1648F">
        <w:t>each Share Class. The Performance Fee payable in respect of each Share Class will be calculated on a per Class basis.</w:t>
      </w:r>
      <w:r w:rsidRPr="00BF1B19">
        <w:t xml:space="preserve"> The Performance Fee will</w:t>
      </w:r>
      <w:r w:rsidR="00307550" w:rsidRPr="00BF1B19">
        <w:t xml:space="preserve"> be calculated and</w:t>
      </w:r>
      <w:r w:rsidRPr="00BF1B19">
        <w:t xml:space="preserve"> accrue </w:t>
      </w:r>
      <w:r w:rsidR="00307550" w:rsidRPr="00BF1B19">
        <w:t xml:space="preserve">as at </w:t>
      </w:r>
      <w:r w:rsidRPr="00BF1B19">
        <w:t xml:space="preserve">each Valuation Point and the accrual will be reflected in the Net Asset Value of the relevant </w:t>
      </w:r>
      <w:r w:rsidR="002945B6" w:rsidRPr="00BF1B19">
        <w:t>S</w:t>
      </w:r>
      <w:r w:rsidRPr="00BF1B19">
        <w:t xml:space="preserve">hare </w:t>
      </w:r>
      <w:r w:rsidR="002945B6" w:rsidRPr="00BF1B19">
        <w:t>C</w:t>
      </w:r>
      <w:r w:rsidRPr="00BF1B19">
        <w:t xml:space="preserve">lass. The Performance Fee shall be equal to the </w:t>
      </w:r>
      <w:r w:rsidR="00E75D8F" w:rsidRPr="00BF1B19">
        <w:t>R</w:t>
      </w:r>
      <w:r w:rsidRPr="00BF1B19">
        <w:t xml:space="preserve">elevant </w:t>
      </w:r>
      <w:r w:rsidR="00E75D8F" w:rsidRPr="00BF1B19">
        <w:t>P</w:t>
      </w:r>
      <w:r w:rsidRPr="00BF1B19">
        <w:t xml:space="preserve">ercentage </w:t>
      </w:r>
      <w:r w:rsidR="00BD4DBC" w:rsidRPr="00BF1B19">
        <w:t xml:space="preserve">multiplied by </w:t>
      </w:r>
      <w:r w:rsidRPr="00BF1B19">
        <w:t xml:space="preserve">the amount by which the Net Asset Value </w:t>
      </w:r>
      <w:r w:rsidR="00701836" w:rsidRPr="00BF1B19">
        <w:t>per C</w:t>
      </w:r>
      <w:r w:rsidRPr="00BF1B19">
        <w:t xml:space="preserve">lass exceeds the Peak Net Asset Value per Class as at the end of the </w:t>
      </w:r>
      <w:r w:rsidR="00BD4DBC" w:rsidRPr="00BF1B19">
        <w:t xml:space="preserve">Performance </w:t>
      </w:r>
      <w:r w:rsidRPr="00BF1B19">
        <w:t xml:space="preserve">Period, plus any Performance Fee accrued in relation to the class in respect of redemptions during the </w:t>
      </w:r>
      <w:r w:rsidR="00BD4DBC" w:rsidRPr="00BF1B19">
        <w:t xml:space="preserve">Performance </w:t>
      </w:r>
      <w:r w:rsidRPr="00BF1B19">
        <w:t>Period</w:t>
      </w:r>
      <w:r w:rsidR="00AD0D38" w:rsidRPr="00BF1B19">
        <w:t>.</w:t>
      </w:r>
      <w:r w:rsidR="00302A0E" w:rsidRPr="00BF1B19">
        <w:t xml:space="preserve"> </w:t>
      </w:r>
    </w:p>
    <w:p w14:paraId="0F872859" w14:textId="5A6F9306" w:rsidR="003C3C2B" w:rsidRPr="00BF1B19" w:rsidRDefault="003C3C2B" w:rsidP="005F28D3">
      <w:pPr>
        <w:pStyle w:val="BodyText"/>
        <w:ind w:left="720"/>
        <w:jc w:val="both"/>
      </w:pPr>
    </w:p>
    <w:p w14:paraId="0944BC4D" w14:textId="226C9EF2" w:rsidR="00E75D8F" w:rsidRPr="00BF1B19" w:rsidRDefault="00E75D8F" w:rsidP="005F28D3">
      <w:pPr>
        <w:pStyle w:val="BodyText"/>
        <w:ind w:left="720"/>
        <w:jc w:val="both"/>
      </w:pPr>
      <w:r w:rsidRPr="00BF1B19">
        <w:t xml:space="preserve">For the first </w:t>
      </w:r>
      <w:r w:rsidR="00BD4DBC" w:rsidRPr="00BF1B19">
        <w:t xml:space="preserve">Performance </w:t>
      </w:r>
      <w:r w:rsidRPr="00BF1B19">
        <w:t xml:space="preserve">Period </w:t>
      </w:r>
      <w:r w:rsidR="00BD4DBC" w:rsidRPr="00BF1B19">
        <w:t xml:space="preserve">(as set out in the table </w:t>
      </w:r>
      <w:r w:rsidR="00E6090D" w:rsidRPr="00BF1B19">
        <w:t xml:space="preserve">under section headed “Key Information for Subscribing and Redeeming – Share Classes” </w:t>
      </w:r>
      <w:r w:rsidR="00BD4DBC" w:rsidRPr="00BF1B19">
        <w:t xml:space="preserve">in respect of each Share Class) </w:t>
      </w:r>
      <w:r w:rsidRPr="00BF1B19">
        <w:t xml:space="preserve">in which Shares are first issued, the end of the relevant Initial Offer Period is considered the beginning of the first </w:t>
      </w:r>
      <w:r w:rsidR="00BD4DBC" w:rsidRPr="00BF1B19">
        <w:t>Performance</w:t>
      </w:r>
      <w:r w:rsidRPr="00BF1B19">
        <w:t xml:space="preserve"> Period and the proceeds of the initial offer is considered the Peak Net Asset Value </w:t>
      </w:r>
      <w:r w:rsidR="00960A11" w:rsidRPr="00BF1B19">
        <w:t xml:space="preserve">per Class </w:t>
      </w:r>
      <w:r w:rsidRPr="00BF1B19">
        <w:t xml:space="preserve">at the beginning of the first </w:t>
      </w:r>
      <w:r w:rsidR="00167242" w:rsidRPr="00BF1B19">
        <w:t>Performance</w:t>
      </w:r>
      <w:r w:rsidRPr="00BF1B19">
        <w:t xml:space="preserve"> Period. </w:t>
      </w:r>
    </w:p>
    <w:p w14:paraId="2CF88FF8" w14:textId="77777777" w:rsidR="00E75D8F" w:rsidRPr="00BF1B19" w:rsidRDefault="00E75D8F" w:rsidP="005F28D3">
      <w:pPr>
        <w:pStyle w:val="BodyText"/>
        <w:ind w:left="720"/>
        <w:jc w:val="both"/>
      </w:pPr>
    </w:p>
    <w:p w14:paraId="56B7E732" w14:textId="18E5ECD7" w:rsidR="00E75D8F" w:rsidRPr="00BF1B19" w:rsidRDefault="00E75D8F" w:rsidP="005F28D3">
      <w:pPr>
        <w:pStyle w:val="BodyText"/>
        <w:ind w:left="720"/>
        <w:jc w:val="both"/>
      </w:pPr>
      <w:r w:rsidRPr="00BF1B19">
        <w:t xml:space="preserve">For the purposes of the Performance Fee calculation, </w:t>
      </w:r>
      <w:r w:rsidR="00263257" w:rsidRPr="00BF1B19">
        <w:t xml:space="preserve">excess performance shall be calculated net of all costs by reference to </w:t>
      </w:r>
      <w:r w:rsidRPr="00BF1B19">
        <w:t>the Net Asset Value</w:t>
      </w:r>
      <w:r w:rsidR="00263257" w:rsidRPr="00BF1B19">
        <w:t xml:space="preserve"> per Class</w:t>
      </w:r>
      <w:r w:rsidRPr="00BF1B19">
        <w:t xml:space="preserve"> before the deduction of any accrual for Performance Fee for that </w:t>
      </w:r>
      <w:r w:rsidR="00BD4DBC" w:rsidRPr="00BF1B19">
        <w:t xml:space="preserve">Performance </w:t>
      </w:r>
      <w:r w:rsidRPr="00BF1B19">
        <w:t>Period,</w:t>
      </w:r>
      <w:r w:rsidR="00302A0E" w:rsidRPr="00BF1B19">
        <w:t xml:space="preserve"> provided that in doing so it is in the investor’s best interest</w:t>
      </w:r>
      <w:r w:rsidRPr="00BF1B19">
        <w:t xml:space="preserve">. For the avoidance of doubt, </w:t>
      </w:r>
      <w:r w:rsidR="00DA2E2B" w:rsidRPr="00BF1B19">
        <w:t>no Performance Fee will be accrued or paid until the Net Asset Value per Class exceeds the Peak Net Asset Value per Class. The Performance Fee is only payable or paid on the increase of the Net Asset Value per Class over the Peak Net Asset Value per Class.</w:t>
      </w:r>
      <w:r w:rsidR="00302A0E" w:rsidRPr="00BF1B19">
        <w:t xml:space="preserve"> </w:t>
      </w:r>
      <w:r w:rsidRPr="00BF1B19">
        <w:lastRenderedPageBreak/>
        <w:t xml:space="preserve">Where Performance Fees are payable by the Fund, these will be based on net realised and net unrealised gains and losses as at each calculation date. </w:t>
      </w:r>
    </w:p>
    <w:p w14:paraId="23DF7563" w14:textId="77777777" w:rsidR="003C3C2B" w:rsidRPr="00BF1B19" w:rsidRDefault="003C3C2B" w:rsidP="005F28D3">
      <w:pPr>
        <w:pStyle w:val="BodyText"/>
        <w:ind w:left="720"/>
        <w:jc w:val="both"/>
      </w:pPr>
    </w:p>
    <w:p w14:paraId="78F85441" w14:textId="38DD366C" w:rsidR="006B38C4" w:rsidRPr="00BF1B19" w:rsidRDefault="006B38C4" w:rsidP="005F28D3">
      <w:pPr>
        <w:pStyle w:val="BodyText"/>
        <w:ind w:left="720"/>
        <w:jc w:val="both"/>
      </w:pPr>
      <w:r w:rsidRPr="00BF1B19">
        <w:t xml:space="preserve">The Performance Fee will be </w:t>
      </w:r>
      <w:r w:rsidR="00B6496B" w:rsidRPr="00BF1B19">
        <w:t xml:space="preserve">credited </w:t>
      </w:r>
      <w:r w:rsidRPr="00BF1B19">
        <w:t>to the Investment Manager in arrear as soon as reasonably practicable after 31 December in each year</w:t>
      </w:r>
      <w:r w:rsidR="00244D13" w:rsidRPr="00BF1B19">
        <w:t xml:space="preserve"> (being the crystallisation date, save where Shares are redeemed during a Performance Period</w:t>
      </w:r>
      <w:r w:rsidR="008F687A" w:rsidRPr="00BF1B19">
        <w:t>, and in that case, the calculation of the Performance Fee will be as described below</w:t>
      </w:r>
      <w:r w:rsidRPr="00A1648F">
        <w:t>). The</w:t>
      </w:r>
      <w:r w:rsidRPr="00BF1B19">
        <w:t xml:space="preserve"> first </w:t>
      </w:r>
      <w:r w:rsidRPr="00A1648F">
        <w:t xml:space="preserve">instalment of </w:t>
      </w:r>
      <w:r w:rsidRPr="00BF1B19">
        <w:t>Performance Fee</w:t>
      </w:r>
      <w:r w:rsidRPr="00A1648F">
        <w:t xml:space="preserve">, </w:t>
      </w:r>
      <w:r w:rsidRPr="00BF1B19">
        <w:t>if relevant</w:t>
      </w:r>
      <w:r w:rsidRPr="00A1648F">
        <w:t>, (</w:t>
      </w:r>
      <w:proofErr w:type="spellStart"/>
      <w:r w:rsidRPr="00A1648F">
        <w:t>i</w:t>
      </w:r>
      <w:proofErr w:type="spellEnd"/>
      <w:r w:rsidRPr="00A1648F">
        <w:t>) for Classes S, R and J, has been paid</w:t>
      </w:r>
      <w:r w:rsidRPr="00BF1B19">
        <w:t xml:space="preserve"> on or shortly after 31 December 2021</w:t>
      </w:r>
      <w:r w:rsidRPr="00A1648F">
        <w:t>, and (ii) for Classes F and I, will be payable on or shortly after 31 December 2024.</w:t>
      </w:r>
      <w:r w:rsidRPr="00BF1B19">
        <w:t xml:space="preserve"> The Investment Manager may from time to time at its sole discretion and out of its own resources decide to give rebates to some or all Shareholders or their agents or intermediaries of part of or </w:t>
      </w:r>
      <w:proofErr w:type="gramStart"/>
      <w:r w:rsidRPr="00BF1B19">
        <w:t>all of</w:t>
      </w:r>
      <w:proofErr w:type="gramEnd"/>
      <w:r w:rsidRPr="00BF1B19">
        <w:t xml:space="preserve"> the Investment </w:t>
      </w:r>
      <w:r w:rsidRPr="00A1648F">
        <w:t>Management Fee</w:t>
      </w:r>
      <w:r w:rsidRPr="00BF1B19">
        <w:t xml:space="preserve"> and/or the Performance Fee.</w:t>
      </w:r>
    </w:p>
    <w:p w14:paraId="30F05FFB" w14:textId="20612015" w:rsidR="006B38C4" w:rsidRPr="00BF1B19" w:rsidRDefault="006B38C4" w:rsidP="005F28D3">
      <w:pPr>
        <w:pStyle w:val="BodyText"/>
        <w:ind w:left="720"/>
        <w:jc w:val="both"/>
      </w:pPr>
    </w:p>
    <w:p w14:paraId="262768EF" w14:textId="197DAFEB" w:rsidR="0070563C" w:rsidRPr="00A1648F" w:rsidRDefault="00F201D2" w:rsidP="00945B80">
      <w:pPr>
        <w:pStyle w:val="BodyText"/>
        <w:keepNext/>
        <w:spacing w:before="1"/>
        <w:ind w:left="720"/>
        <w:jc w:val="both"/>
        <w:rPr>
          <w:i/>
          <w:iCs/>
        </w:rPr>
      </w:pPr>
      <w:r w:rsidRPr="00BF1B19">
        <w:rPr>
          <w:i/>
          <w:iCs/>
        </w:rPr>
        <w:t>Illustrative e</w:t>
      </w:r>
      <w:r w:rsidR="00784BC8" w:rsidRPr="00BF1B19">
        <w:rPr>
          <w:i/>
          <w:iCs/>
        </w:rPr>
        <w:t xml:space="preserve">xample of how the Performance Fee will be calculated </w:t>
      </w:r>
    </w:p>
    <w:p w14:paraId="50F16507" w14:textId="77777777" w:rsidR="0070563C" w:rsidRPr="00A1648F" w:rsidRDefault="0070563C" w:rsidP="00F7225D">
      <w:pPr>
        <w:pStyle w:val="BodyText"/>
        <w:keepNext/>
        <w:ind w:left="720"/>
        <w:jc w:val="both"/>
        <w:rPr>
          <w:i/>
          <w:iCs/>
          <w:u w:val="single"/>
        </w:rPr>
      </w:pPr>
    </w:p>
    <w:p w14:paraId="159BBCAE" w14:textId="05D28651" w:rsidR="00784BC8" w:rsidRPr="005F28D3" w:rsidRDefault="00784BC8" w:rsidP="005F28D3">
      <w:pPr>
        <w:pStyle w:val="BodyText"/>
        <w:keepNext/>
        <w:ind w:left="720"/>
        <w:jc w:val="both"/>
        <w:rPr>
          <w:i/>
          <w:u w:val="single"/>
        </w:rPr>
      </w:pPr>
      <w:r w:rsidRPr="005F28D3">
        <w:rPr>
          <w:i/>
          <w:u w:val="single"/>
        </w:rPr>
        <w:t>Class</w:t>
      </w:r>
      <w:r w:rsidR="00712B25" w:rsidRPr="005F28D3">
        <w:rPr>
          <w:i/>
          <w:u w:val="single"/>
        </w:rPr>
        <w:t>es</w:t>
      </w:r>
      <w:r w:rsidR="00DF1B00" w:rsidRPr="005F28D3">
        <w:rPr>
          <w:i/>
          <w:u w:val="single"/>
        </w:rPr>
        <w:t xml:space="preserve"> </w:t>
      </w:r>
      <w:r w:rsidR="0070563C" w:rsidRPr="00A1648F">
        <w:rPr>
          <w:i/>
          <w:iCs/>
          <w:u w:val="single"/>
        </w:rPr>
        <w:t xml:space="preserve">I, </w:t>
      </w:r>
      <w:r w:rsidR="00DF1B00" w:rsidRPr="005F28D3">
        <w:rPr>
          <w:i/>
          <w:u w:val="single"/>
        </w:rPr>
        <w:t>S</w:t>
      </w:r>
      <w:r w:rsidR="00751733" w:rsidRPr="005F28D3">
        <w:rPr>
          <w:i/>
          <w:u w:val="single"/>
        </w:rPr>
        <w:t>, R</w:t>
      </w:r>
      <w:r w:rsidR="00DF1B00" w:rsidRPr="005F28D3">
        <w:rPr>
          <w:i/>
          <w:u w:val="single"/>
        </w:rPr>
        <w:t xml:space="preserve"> </w:t>
      </w:r>
      <w:r w:rsidR="0070563C" w:rsidRPr="00A1648F">
        <w:rPr>
          <w:i/>
          <w:iCs/>
          <w:u w:val="single"/>
        </w:rPr>
        <w:t>and</w:t>
      </w:r>
      <w:r w:rsidR="00DF1B00" w:rsidRPr="005F28D3">
        <w:rPr>
          <w:i/>
          <w:u w:val="single"/>
        </w:rPr>
        <w:t xml:space="preserve"> J</w:t>
      </w:r>
    </w:p>
    <w:p w14:paraId="35111DD2" w14:textId="751FE63B" w:rsidR="00784BC8" w:rsidRPr="00BF1B19" w:rsidRDefault="00784BC8" w:rsidP="005F28D3">
      <w:pPr>
        <w:pStyle w:val="BodyText"/>
        <w:keepNext/>
        <w:ind w:left="720" w:right="125"/>
        <w:jc w:val="both"/>
      </w:pPr>
    </w:p>
    <w:tbl>
      <w:tblPr>
        <w:tblW w:w="9375" w:type="dxa"/>
        <w:jc w:val="right"/>
        <w:tblLayout w:type="fixed"/>
        <w:tblCellMar>
          <w:left w:w="0" w:type="dxa"/>
          <w:right w:w="0" w:type="dxa"/>
        </w:tblCellMar>
        <w:tblLook w:val="04A0" w:firstRow="1" w:lastRow="0" w:firstColumn="1" w:lastColumn="0" w:noHBand="0" w:noVBand="1"/>
      </w:tblPr>
      <w:tblGrid>
        <w:gridCol w:w="822"/>
        <w:gridCol w:w="1276"/>
        <w:gridCol w:w="851"/>
        <w:gridCol w:w="1276"/>
        <w:gridCol w:w="992"/>
        <w:gridCol w:w="1276"/>
        <w:gridCol w:w="850"/>
        <w:gridCol w:w="851"/>
        <w:gridCol w:w="1181"/>
      </w:tblGrid>
      <w:tr w:rsidR="009D18A4" w:rsidRPr="00BF1B19" w14:paraId="3D1D1A66" w14:textId="77777777" w:rsidTr="009D18A4">
        <w:trPr>
          <w:trHeight w:val="1662"/>
          <w:jc w:val="right"/>
        </w:trPr>
        <w:tc>
          <w:tcPr>
            <w:tcW w:w="822" w:type="dxa"/>
            <w:tcBorders>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5C959F81" w14:textId="787790E3" w:rsidR="001B2ECC" w:rsidRPr="00BF1B19" w:rsidRDefault="001B2ECC" w:rsidP="00745689">
            <w:pPr>
              <w:keepNext/>
              <w:rPr>
                <w:rFonts w:cs="Calibri"/>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28" w:type="dxa"/>
              <w:right w:w="28" w:type="dxa"/>
            </w:tcMar>
          </w:tcPr>
          <w:p w14:paraId="115D8F0C" w14:textId="21022EC7" w:rsidR="001B2ECC" w:rsidRPr="00BF1B19" w:rsidRDefault="00167242" w:rsidP="00745689">
            <w:pPr>
              <w:keepNext/>
              <w:jc w:val="center"/>
              <w:rPr>
                <w:b/>
                <w:bCs/>
                <w:color w:val="000000"/>
                <w:sz w:val="16"/>
                <w:szCs w:val="16"/>
              </w:rPr>
            </w:pPr>
            <w:r w:rsidRPr="00BF1B19">
              <w:rPr>
                <w:b/>
                <w:bCs/>
                <w:color w:val="000000"/>
                <w:sz w:val="16"/>
                <w:szCs w:val="16"/>
              </w:rPr>
              <w:t xml:space="preserve">Net Asset </w:t>
            </w:r>
            <w:r w:rsidR="001B2ECC" w:rsidRPr="00BF1B19">
              <w:rPr>
                <w:b/>
                <w:bCs/>
                <w:color w:val="000000"/>
                <w:sz w:val="16"/>
                <w:szCs w:val="16"/>
              </w:rPr>
              <w:t xml:space="preserve">Value </w:t>
            </w:r>
            <w:r w:rsidRPr="00BF1B19">
              <w:rPr>
                <w:b/>
                <w:bCs/>
                <w:color w:val="000000"/>
                <w:sz w:val="16"/>
                <w:szCs w:val="16"/>
              </w:rPr>
              <w:t xml:space="preserve">per Class </w:t>
            </w:r>
            <w:r w:rsidR="00771846" w:rsidRPr="00BF1B19">
              <w:rPr>
                <w:b/>
                <w:bCs/>
                <w:color w:val="000000"/>
                <w:sz w:val="16"/>
                <w:szCs w:val="16"/>
              </w:rPr>
              <w:t xml:space="preserve">for Class </w:t>
            </w:r>
            <w:r w:rsidRPr="00A1648F">
              <w:rPr>
                <w:b/>
                <w:bCs/>
                <w:color w:val="000000"/>
                <w:sz w:val="16"/>
                <w:szCs w:val="16"/>
              </w:rPr>
              <w:t>I/</w:t>
            </w:r>
            <w:r w:rsidR="00771846" w:rsidRPr="00BF1B19">
              <w:rPr>
                <w:b/>
                <w:bCs/>
                <w:color w:val="000000"/>
                <w:sz w:val="16"/>
                <w:szCs w:val="16"/>
              </w:rPr>
              <w:t xml:space="preserve">S/R/J </w:t>
            </w:r>
            <w:r w:rsidR="001B2ECC" w:rsidRPr="00BF1B19">
              <w:rPr>
                <w:b/>
                <w:bCs/>
                <w:color w:val="000000"/>
                <w:sz w:val="16"/>
                <w:szCs w:val="16"/>
              </w:rPr>
              <w:t xml:space="preserve">at </w:t>
            </w:r>
            <w:r w:rsidRPr="00BF1B19">
              <w:rPr>
                <w:b/>
                <w:bCs/>
                <w:color w:val="000000"/>
                <w:sz w:val="16"/>
                <w:szCs w:val="16"/>
              </w:rPr>
              <w:t xml:space="preserve">the </w:t>
            </w:r>
            <w:r w:rsidR="001B2ECC" w:rsidRPr="00BF1B19">
              <w:rPr>
                <w:b/>
                <w:bCs/>
                <w:color w:val="000000"/>
                <w:sz w:val="16"/>
                <w:szCs w:val="16"/>
              </w:rPr>
              <w:t xml:space="preserve">start of </w:t>
            </w:r>
            <w:r w:rsidRPr="00BF1B19">
              <w:rPr>
                <w:b/>
                <w:bCs/>
                <w:color w:val="000000"/>
                <w:sz w:val="16"/>
                <w:szCs w:val="16"/>
              </w:rPr>
              <w:t xml:space="preserve">Performance </w:t>
            </w:r>
            <w:r w:rsidR="001B2ECC" w:rsidRPr="00BF1B19">
              <w:rPr>
                <w:b/>
                <w:bCs/>
                <w:color w:val="000000"/>
                <w:sz w:val="16"/>
                <w:szCs w:val="16"/>
              </w:rPr>
              <w:t>Period</w:t>
            </w:r>
          </w:p>
          <w:p w14:paraId="0893FFA5" w14:textId="77777777" w:rsidR="001B2ECC" w:rsidRPr="00BF1B19" w:rsidRDefault="001B2ECC" w:rsidP="00745689">
            <w:pPr>
              <w:keepNext/>
              <w:jc w:val="center"/>
              <w:rPr>
                <w:b/>
                <w:bCs/>
                <w:color w:val="000000"/>
                <w:sz w:val="16"/>
                <w:szCs w:val="16"/>
              </w:rPr>
            </w:pPr>
            <w:r w:rsidRPr="00BF1B19">
              <w:rPr>
                <w:b/>
                <w:bCs/>
                <w:color w:val="000000"/>
                <w:sz w:val="16"/>
                <w:szCs w:val="16"/>
              </w:rPr>
              <w:t>(US$)</w:t>
            </w:r>
          </w:p>
          <w:p w14:paraId="59E5432C" w14:textId="0C287EC5" w:rsidR="00771846" w:rsidRPr="00BF1B19" w:rsidRDefault="00771846" w:rsidP="00745689">
            <w:pPr>
              <w:keepNext/>
              <w:jc w:val="center"/>
              <w:rPr>
                <w:b/>
                <w:bCs/>
                <w:color w:val="00000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hideMark/>
          </w:tcPr>
          <w:p w14:paraId="0691CC2B" w14:textId="16691F5F" w:rsidR="001B2ECC" w:rsidRPr="00BF1B19" w:rsidRDefault="001B2ECC" w:rsidP="00745689">
            <w:pPr>
              <w:keepNext/>
              <w:jc w:val="center"/>
              <w:rPr>
                <w:b/>
                <w:bCs/>
                <w:color w:val="000000"/>
                <w:sz w:val="16"/>
                <w:szCs w:val="16"/>
              </w:rPr>
            </w:pPr>
            <w:r w:rsidRPr="00BF1B19">
              <w:rPr>
                <w:b/>
                <w:bCs/>
                <w:color w:val="000000"/>
                <w:sz w:val="16"/>
                <w:szCs w:val="16"/>
              </w:rPr>
              <w:t>Share</w:t>
            </w:r>
          </w:p>
          <w:p w14:paraId="2252454C" w14:textId="77777777" w:rsidR="001B2ECC" w:rsidRPr="00BF1B19" w:rsidRDefault="001B2ECC" w:rsidP="00745689">
            <w:pPr>
              <w:keepNext/>
              <w:jc w:val="center"/>
              <w:rPr>
                <w:sz w:val="16"/>
                <w:szCs w:val="16"/>
              </w:rPr>
            </w:pPr>
            <w:r w:rsidRPr="00BF1B19">
              <w:rPr>
                <w:b/>
                <w:bCs/>
                <w:color w:val="000000"/>
                <w:sz w:val="16"/>
                <w:szCs w:val="16"/>
              </w:rPr>
              <w:t>Class Return (Net of Fees)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hideMark/>
          </w:tcPr>
          <w:p w14:paraId="50F09471" w14:textId="6BC9497A" w:rsidR="001B2ECC" w:rsidRPr="00BF1B19" w:rsidRDefault="00167242" w:rsidP="00745689">
            <w:pPr>
              <w:keepNext/>
              <w:jc w:val="center"/>
              <w:rPr>
                <w:b/>
                <w:bCs/>
                <w:color w:val="000000"/>
                <w:sz w:val="16"/>
                <w:szCs w:val="16"/>
              </w:rPr>
            </w:pPr>
            <w:r w:rsidRPr="00BF1B19">
              <w:rPr>
                <w:b/>
                <w:bCs/>
                <w:color w:val="000000"/>
                <w:sz w:val="16"/>
                <w:szCs w:val="16"/>
              </w:rPr>
              <w:t>Net Asset Value per Class</w:t>
            </w:r>
            <w:r w:rsidR="00771846" w:rsidRPr="00BF1B19">
              <w:rPr>
                <w:b/>
                <w:bCs/>
                <w:color w:val="000000"/>
                <w:sz w:val="16"/>
                <w:szCs w:val="16"/>
              </w:rPr>
              <w:t xml:space="preserve"> for Class </w:t>
            </w:r>
            <w:r w:rsidRPr="00A1648F">
              <w:rPr>
                <w:b/>
                <w:bCs/>
                <w:color w:val="000000"/>
                <w:sz w:val="16"/>
                <w:szCs w:val="16"/>
              </w:rPr>
              <w:t>I/</w:t>
            </w:r>
            <w:r w:rsidR="00771846" w:rsidRPr="00BF1B19">
              <w:rPr>
                <w:b/>
                <w:bCs/>
                <w:color w:val="000000"/>
                <w:sz w:val="16"/>
                <w:szCs w:val="16"/>
              </w:rPr>
              <w:t>S/R/J</w:t>
            </w:r>
            <w:r w:rsidRPr="00BF1B19">
              <w:rPr>
                <w:b/>
                <w:bCs/>
                <w:color w:val="000000"/>
                <w:sz w:val="16"/>
                <w:szCs w:val="16"/>
              </w:rPr>
              <w:t xml:space="preserve"> </w:t>
            </w:r>
            <w:r w:rsidR="001B2ECC" w:rsidRPr="00BF1B19">
              <w:rPr>
                <w:b/>
                <w:bCs/>
                <w:color w:val="000000"/>
                <w:sz w:val="16"/>
                <w:szCs w:val="16"/>
              </w:rPr>
              <w:t xml:space="preserve">at </w:t>
            </w:r>
            <w:r w:rsidRPr="00BF1B19">
              <w:rPr>
                <w:b/>
                <w:bCs/>
                <w:color w:val="000000"/>
                <w:sz w:val="16"/>
                <w:szCs w:val="16"/>
              </w:rPr>
              <w:t xml:space="preserve">the </w:t>
            </w:r>
            <w:r w:rsidR="001B2ECC" w:rsidRPr="00BF1B19">
              <w:rPr>
                <w:b/>
                <w:bCs/>
                <w:color w:val="000000"/>
                <w:sz w:val="16"/>
                <w:szCs w:val="16"/>
              </w:rPr>
              <w:t xml:space="preserve">end of </w:t>
            </w:r>
            <w:r w:rsidRPr="00BF1B19">
              <w:rPr>
                <w:b/>
                <w:bCs/>
                <w:color w:val="000000"/>
                <w:sz w:val="16"/>
                <w:szCs w:val="16"/>
              </w:rPr>
              <w:t>Performance</w:t>
            </w:r>
            <w:r w:rsidR="001B2ECC" w:rsidRPr="00BF1B19">
              <w:rPr>
                <w:b/>
                <w:bCs/>
                <w:color w:val="000000"/>
                <w:sz w:val="16"/>
                <w:szCs w:val="16"/>
              </w:rPr>
              <w:t xml:space="preserve"> Period (US$)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28" w:type="dxa"/>
              <w:right w:w="28" w:type="dxa"/>
            </w:tcMar>
          </w:tcPr>
          <w:p w14:paraId="005029EF" w14:textId="08BD1910" w:rsidR="001B2ECC" w:rsidRPr="00BF1B19" w:rsidRDefault="001B2ECC" w:rsidP="00745689">
            <w:pPr>
              <w:keepNext/>
              <w:jc w:val="center"/>
              <w:rPr>
                <w:b/>
                <w:bCs/>
                <w:color w:val="000000"/>
                <w:sz w:val="16"/>
                <w:szCs w:val="16"/>
              </w:rPr>
            </w:pPr>
            <w:r w:rsidRPr="00BF1B19">
              <w:rPr>
                <w:b/>
                <w:bCs/>
                <w:color w:val="000000"/>
                <w:sz w:val="16"/>
                <w:szCs w:val="16"/>
              </w:rPr>
              <w:t xml:space="preserve">Peak Net Asset Value per </w:t>
            </w:r>
            <w:r w:rsidR="00AC2B39" w:rsidRPr="00BF1B19">
              <w:rPr>
                <w:b/>
                <w:bCs/>
                <w:color w:val="000000"/>
                <w:sz w:val="16"/>
                <w:szCs w:val="16"/>
              </w:rPr>
              <w:t>Class</w:t>
            </w:r>
            <w:r w:rsidRPr="00BF1B19">
              <w:rPr>
                <w:b/>
                <w:bCs/>
                <w:color w:val="000000"/>
                <w:sz w:val="16"/>
                <w:szCs w:val="16"/>
              </w:rPr>
              <w:t xml:space="preserve"> (US$)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hideMark/>
          </w:tcPr>
          <w:p w14:paraId="79AD37E8" w14:textId="0FB1B4C5" w:rsidR="001B2ECC" w:rsidRPr="00BF1B19" w:rsidRDefault="001B2ECC" w:rsidP="00745689">
            <w:pPr>
              <w:keepNext/>
              <w:jc w:val="center"/>
              <w:rPr>
                <w:sz w:val="16"/>
                <w:szCs w:val="16"/>
              </w:rPr>
            </w:pPr>
            <w:r w:rsidRPr="00BF1B19">
              <w:rPr>
                <w:b/>
                <w:bCs/>
                <w:color w:val="000000"/>
                <w:sz w:val="16"/>
                <w:szCs w:val="16"/>
              </w:rPr>
              <w:t>Appreciation of Net Asset Value above the Peak Net Asset Value</w:t>
            </w:r>
            <w:r w:rsidR="00751733" w:rsidRPr="00BF1B19">
              <w:rPr>
                <w:b/>
                <w:bCs/>
                <w:color w:val="000000"/>
                <w:sz w:val="16"/>
                <w:szCs w:val="16"/>
              </w:rPr>
              <w:t xml:space="preserve"> per Class</w:t>
            </w:r>
            <w:r w:rsidRPr="00BF1B19">
              <w:rPr>
                <w:b/>
                <w:bCs/>
                <w:color w:val="000000"/>
                <w:sz w:val="16"/>
                <w:szCs w:val="16"/>
              </w:rPr>
              <w:t xml:space="preserve"> (US$)</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hideMark/>
          </w:tcPr>
          <w:p w14:paraId="0546BC57" w14:textId="59774344" w:rsidR="001B2ECC" w:rsidRPr="00BF1B19" w:rsidRDefault="001B2ECC" w:rsidP="00745689">
            <w:pPr>
              <w:keepNext/>
              <w:jc w:val="center"/>
              <w:rPr>
                <w:sz w:val="16"/>
                <w:szCs w:val="16"/>
              </w:rPr>
            </w:pPr>
            <w:r w:rsidRPr="00BF1B19">
              <w:rPr>
                <w:b/>
                <w:bCs/>
                <w:color w:val="000000"/>
                <w:sz w:val="16"/>
                <w:szCs w:val="16"/>
              </w:rPr>
              <w:t xml:space="preserve">Above Peak Net Asset Value per </w:t>
            </w:r>
            <w:r w:rsidR="00AC2B39" w:rsidRPr="00BF1B19">
              <w:rPr>
                <w:b/>
                <w:bCs/>
                <w:color w:val="000000"/>
                <w:sz w:val="16"/>
                <w:szCs w:val="16"/>
              </w:rPr>
              <w:t>Class</w:t>
            </w:r>
            <w:r w:rsidRPr="00BF1B19">
              <w:rPr>
                <w:b/>
                <w:bCs/>
                <w:color w:val="000000"/>
                <w:sz w:val="16"/>
                <w:szCs w:val="16"/>
              </w:rPr>
              <w:t>? (Y/N)</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hideMark/>
          </w:tcPr>
          <w:p w14:paraId="05B40F3B" w14:textId="6106157E" w:rsidR="001B2ECC" w:rsidRPr="00BF1B19" w:rsidRDefault="001B2ECC" w:rsidP="00745689">
            <w:pPr>
              <w:keepNext/>
              <w:jc w:val="center"/>
              <w:rPr>
                <w:sz w:val="16"/>
                <w:szCs w:val="16"/>
              </w:rPr>
            </w:pPr>
            <w:proofErr w:type="spellStart"/>
            <w:r w:rsidRPr="00BF1B19">
              <w:rPr>
                <w:b/>
                <w:bCs/>
                <w:color w:val="000000"/>
                <w:sz w:val="16"/>
                <w:szCs w:val="16"/>
              </w:rPr>
              <w:t>Perfor-mance</w:t>
            </w:r>
            <w:proofErr w:type="spellEnd"/>
            <w:r w:rsidRPr="00BF1B19">
              <w:rPr>
                <w:b/>
                <w:bCs/>
                <w:color w:val="000000"/>
                <w:sz w:val="16"/>
                <w:szCs w:val="16"/>
              </w:rPr>
              <w:t xml:space="preserve"> Fee Charged (US$)</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hideMark/>
          </w:tcPr>
          <w:p w14:paraId="67B8F1B2" w14:textId="4C66B1D0" w:rsidR="001B2ECC" w:rsidRPr="00BF1B19" w:rsidRDefault="001B2ECC" w:rsidP="00745689">
            <w:pPr>
              <w:keepNext/>
              <w:jc w:val="center"/>
              <w:rPr>
                <w:sz w:val="16"/>
                <w:szCs w:val="16"/>
              </w:rPr>
            </w:pPr>
            <w:r w:rsidRPr="00BF1B19">
              <w:rPr>
                <w:b/>
                <w:bCs/>
                <w:color w:val="000000"/>
                <w:sz w:val="16"/>
                <w:szCs w:val="16"/>
              </w:rPr>
              <w:t>Net of Fee Cash Balance (US$)</w:t>
            </w:r>
          </w:p>
        </w:tc>
      </w:tr>
      <w:tr w:rsidR="00C83D66" w:rsidRPr="00BF1B19" w14:paraId="013B6130" w14:textId="77777777" w:rsidTr="009D18A4">
        <w:trPr>
          <w:trHeight w:val="503"/>
          <w:jc w:val="right"/>
        </w:trPr>
        <w:tc>
          <w:tcPr>
            <w:tcW w:w="8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08A81A4" w14:textId="77777777" w:rsidR="001B2ECC" w:rsidRPr="00BF1B19" w:rsidRDefault="001B2ECC" w:rsidP="00745689">
            <w:pPr>
              <w:keepNext/>
              <w:rPr>
                <w:sz w:val="16"/>
                <w:szCs w:val="16"/>
              </w:rPr>
            </w:pPr>
            <w:r w:rsidRPr="00BF1B19">
              <w:rPr>
                <w:b/>
                <w:bCs/>
                <w:color w:val="000000"/>
                <w:sz w:val="16"/>
                <w:szCs w:val="16"/>
              </w:rPr>
              <w:t>Year 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89AB6E7" w14:textId="1372FEEB" w:rsidR="001B2ECC" w:rsidRPr="00BF1B19" w:rsidRDefault="001B2ECC" w:rsidP="00745689">
            <w:pPr>
              <w:keepNext/>
              <w:jc w:val="center"/>
              <w:rPr>
                <w:color w:val="000000"/>
                <w:sz w:val="16"/>
                <w:szCs w:val="16"/>
              </w:rPr>
            </w:pPr>
            <w:r w:rsidRPr="00BF1B19">
              <w:rPr>
                <w:color w:val="000000"/>
                <w:sz w:val="16"/>
                <w:szCs w:val="16"/>
              </w:rPr>
              <w:t>100,000.00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0DBB37C7" w14:textId="4B4EC9A6" w:rsidR="001B2ECC" w:rsidRPr="00BF1B19" w:rsidRDefault="001B2ECC" w:rsidP="00745689">
            <w:pPr>
              <w:keepNext/>
              <w:jc w:val="center"/>
              <w:rPr>
                <w:sz w:val="16"/>
                <w:szCs w:val="16"/>
              </w:rPr>
            </w:pPr>
            <w:r w:rsidRPr="00BF1B19">
              <w:rPr>
                <w:color w:val="000000"/>
                <w:sz w:val="16"/>
                <w:szCs w:val="16"/>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5307CAD2" w14:textId="50D1EFDB" w:rsidR="001B2ECC" w:rsidRPr="00BF1B19" w:rsidRDefault="001B2ECC" w:rsidP="00745689">
            <w:pPr>
              <w:keepNext/>
              <w:jc w:val="center"/>
              <w:rPr>
                <w:sz w:val="16"/>
                <w:szCs w:val="16"/>
              </w:rPr>
            </w:pPr>
            <w:r w:rsidRPr="00BF1B19">
              <w:rPr>
                <w:color w:val="000000"/>
                <w:sz w:val="16"/>
                <w:szCs w:val="16"/>
              </w:rPr>
              <w:t>110,000.00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2E767C3" w14:textId="0C128CEE" w:rsidR="001B2ECC" w:rsidRPr="00BF1B19" w:rsidRDefault="001B2ECC" w:rsidP="00745689">
            <w:pPr>
              <w:keepNext/>
              <w:jc w:val="center"/>
              <w:rPr>
                <w:color w:val="000000"/>
                <w:sz w:val="16"/>
                <w:szCs w:val="16"/>
              </w:rPr>
            </w:pPr>
            <w:r w:rsidRPr="00BF1B19">
              <w:rPr>
                <w:color w:val="000000"/>
                <w:sz w:val="16"/>
                <w:szCs w:val="16"/>
              </w:rPr>
              <w:t>100</w:t>
            </w:r>
            <w:r w:rsidR="00AC2B39" w:rsidRPr="00BF1B19">
              <w:rPr>
                <w:color w:val="000000"/>
                <w:sz w:val="16"/>
                <w:szCs w:val="16"/>
              </w:rPr>
              <w:t>,000</w:t>
            </w:r>
            <w:r w:rsidRPr="00BF1B19">
              <w:rPr>
                <w:color w:val="000000"/>
                <w:sz w:val="16"/>
                <w:szCs w:val="16"/>
              </w:rPr>
              <w:t>.00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3979BAEA" w14:textId="1E65652E" w:rsidR="001B2ECC" w:rsidRPr="00BF1B19" w:rsidRDefault="001B2ECC" w:rsidP="00745689">
            <w:pPr>
              <w:keepNext/>
              <w:jc w:val="center"/>
              <w:rPr>
                <w:sz w:val="16"/>
                <w:szCs w:val="16"/>
              </w:rPr>
            </w:pPr>
            <w:r w:rsidRPr="00BF1B19">
              <w:rPr>
                <w:color w:val="000000"/>
                <w:sz w:val="16"/>
                <w:szCs w:val="16"/>
              </w:rPr>
              <w:t>10,000.00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0E0475F5" w14:textId="77777777" w:rsidR="001B2ECC" w:rsidRPr="00BF1B19" w:rsidRDefault="001B2ECC" w:rsidP="00745689">
            <w:pPr>
              <w:keepNext/>
              <w:jc w:val="center"/>
              <w:rPr>
                <w:sz w:val="16"/>
                <w:szCs w:val="16"/>
              </w:rPr>
            </w:pPr>
            <w:r w:rsidRPr="00BF1B19">
              <w:rPr>
                <w:color w:val="000000"/>
                <w:sz w:val="16"/>
                <w:szCs w:val="16"/>
              </w:rPr>
              <w:t>Y</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hideMark/>
          </w:tcPr>
          <w:p w14:paraId="5C2DEE67" w14:textId="110959F4" w:rsidR="001B2ECC" w:rsidRPr="00BF1B19" w:rsidRDefault="001B2ECC" w:rsidP="00745689">
            <w:pPr>
              <w:keepNext/>
              <w:jc w:val="center"/>
              <w:rPr>
                <w:sz w:val="16"/>
                <w:szCs w:val="16"/>
              </w:rPr>
            </w:pPr>
            <w:r w:rsidRPr="00BF1B19">
              <w:rPr>
                <w:color w:val="000000"/>
                <w:sz w:val="16"/>
                <w:szCs w:val="16"/>
              </w:rPr>
              <w:t>2,000</w:t>
            </w:r>
            <w:r w:rsidR="003E7CA6" w:rsidRPr="00BF1B19">
              <w:rPr>
                <w:color w:val="000000"/>
                <w:sz w:val="16"/>
                <w:szCs w:val="16"/>
              </w:rPr>
              <w:t>.00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691FBA4F" w14:textId="1D2D3230" w:rsidR="001B2ECC" w:rsidRPr="00BF1B19" w:rsidRDefault="001B2ECC" w:rsidP="00745689">
            <w:pPr>
              <w:keepNext/>
              <w:jc w:val="center"/>
              <w:rPr>
                <w:sz w:val="16"/>
                <w:szCs w:val="16"/>
              </w:rPr>
            </w:pPr>
            <w:r w:rsidRPr="00BF1B19">
              <w:rPr>
                <w:color w:val="000000"/>
                <w:sz w:val="16"/>
                <w:szCs w:val="16"/>
              </w:rPr>
              <w:t>108,000.00</w:t>
            </w:r>
          </w:p>
        </w:tc>
      </w:tr>
      <w:tr w:rsidR="009D18A4" w:rsidRPr="00BF1B19" w14:paraId="7A8FFB04" w14:textId="77777777" w:rsidTr="009D18A4">
        <w:trPr>
          <w:trHeight w:val="482"/>
          <w:jc w:val="right"/>
        </w:trPr>
        <w:tc>
          <w:tcPr>
            <w:tcW w:w="8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5E0C24E9" w14:textId="77777777" w:rsidR="001B2ECC" w:rsidRPr="00BF1B19" w:rsidRDefault="001B2ECC" w:rsidP="00745689">
            <w:pPr>
              <w:keepNext/>
              <w:rPr>
                <w:sz w:val="16"/>
                <w:szCs w:val="16"/>
              </w:rPr>
            </w:pPr>
            <w:r w:rsidRPr="00BF1B19">
              <w:rPr>
                <w:b/>
                <w:bCs/>
                <w:color w:val="000000"/>
                <w:sz w:val="16"/>
                <w:szCs w:val="16"/>
              </w:rPr>
              <w:t>Year 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9CC71F3" w14:textId="5A0E394E" w:rsidR="001B2ECC" w:rsidRPr="00BF1B19" w:rsidRDefault="001B2ECC" w:rsidP="00745689">
            <w:pPr>
              <w:keepNext/>
              <w:jc w:val="center"/>
              <w:rPr>
                <w:color w:val="000000"/>
                <w:sz w:val="16"/>
                <w:szCs w:val="16"/>
              </w:rPr>
            </w:pPr>
            <w:r w:rsidRPr="00BF1B19">
              <w:rPr>
                <w:color w:val="000000"/>
                <w:sz w:val="16"/>
                <w:szCs w:val="16"/>
              </w:rPr>
              <w:t>108,000.00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3CFB86B1" w14:textId="52678E57" w:rsidR="001B2ECC" w:rsidRPr="00BF1B19" w:rsidRDefault="001B2ECC" w:rsidP="00745689">
            <w:pPr>
              <w:keepNext/>
              <w:jc w:val="center"/>
              <w:rPr>
                <w:sz w:val="16"/>
                <w:szCs w:val="16"/>
              </w:rPr>
            </w:pPr>
            <w:r w:rsidRPr="00BF1B19">
              <w:rPr>
                <w:color w:val="000000"/>
                <w:sz w:val="16"/>
                <w:szCs w:val="16"/>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5D5814C4" w14:textId="52CBFFE8" w:rsidR="001B2ECC" w:rsidRPr="00BF1B19" w:rsidRDefault="001B2ECC" w:rsidP="00745689">
            <w:pPr>
              <w:keepNext/>
              <w:jc w:val="center"/>
              <w:rPr>
                <w:sz w:val="16"/>
                <w:szCs w:val="16"/>
              </w:rPr>
            </w:pPr>
            <w:r w:rsidRPr="00BF1B19">
              <w:rPr>
                <w:color w:val="000000"/>
                <w:sz w:val="16"/>
                <w:szCs w:val="16"/>
              </w:rPr>
              <w:t>102,600.00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BA61E1F" w14:textId="53307055" w:rsidR="001B2ECC" w:rsidRPr="00BF1B19" w:rsidRDefault="001B2ECC" w:rsidP="00745689">
            <w:pPr>
              <w:keepNext/>
              <w:jc w:val="center"/>
              <w:rPr>
                <w:color w:val="000000"/>
                <w:sz w:val="16"/>
                <w:szCs w:val="16"/>
              </w:rPr>
            </w:pPr>
            <w:r w:rsidRPr="00BF1B19">
              <w:rPr>
                <w:color w:val="000000"/>
                <w:sz w:val="16"/>
                <w:szCs w:val="16"/>
              </w:rPr>
              <w:t>108</w:t>
            </w:r>
            <w:r w:rsidR="00AC2B39" w:rsidRPr="00BF1B19">
              <w:rPr>
                <w:color w:val="000000"/>
                <w:sz w:val="16"/>
                <w:szCs w:val="16"/>
              </w:rPr>
              <w:t>,000</w:t>
            </w:r>
            <w:r w:rsidRPr="00BF1B19">
              <w:rPr>
                <w:color w:val="000000"/>
                <w:sz w:val="16"/>
                <w:szCs w:val="16"/>
              </w:rPr>
              <w:t>.00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E8135BA" w14:textId="300278D5" w:rsidR="001B2ECC" w:rsidRPr="00BF1B19" w:rsidRDefault="001B2ECC" w:rsidP="00745689">
            <w:pPr>
              <w:keepNext/>
              <w:jc w:val="center"/>
              <w:rPr>
                <w:sz w:val="16"/>
                <w:szCs w:val="16"/>
              </w:rPr>
            </w:pPr>
            <w:r w:rsidRPr="00BF1B19">
              <w:rPr>
                <w:color w:val="000000"/>
                <w:sz w:val="16"/>
                <w:szCs w:val="16"/>
              </w:rPr>
              <w:t>(5,400</w:t>
            </w:r>
            <w:r w:rsidR="00960A11" w:rsidRPr="00BF1B19">
              <w:rPr>
                <w:color w:val="000000"/>
                <w:sz w:val="16"/>
                <w:szCs w:val="16"/>
              </w:rPr>
              <w:t>.00</w:t>
            </w:r>
            <w:r w:rsidRPr="00BF1B19">
              <w:rPr>
                <w:color w:val="000000"/>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3DF72D36" w14:textId="77777777" w:rsidR="001B2ECC" w:rsidRPr="00BF1B19" w:rsidRDefault="001B2ECC" w:rsidP="00745689">
            <w:pPr>
              <w:keepNext/>
              <w:jc w:val="center"/>
              <w:rPr>
                <w:sz w:val="16"/>
                <w:szCs w:val="16"/>
              </w:rPr>
            </w:pPr>
            <w:r w:rsidRPr="00BF1B19">
              <w:rPr>
                <w:color w:val="000000"/>
                <w:sz w:val="16"/>
                <w:szCs w:val="16"/>
              </w:rPr>
              <w:t>N</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hideMark/>
          </w:tcPr>
          <w:p w14:paraId="4E8E4835" w14:textId="77777777" w:rsidR="001B2ECC" w:rsidRPr="00BF1B19" w:rsidRDefault="001B2ECC" w:rsidP="00745689">
            <w:pPr>
              <w:keepNext/>
              <w:jc w:val="center"/>
              <w:rPr>
                <w:sz w:val="16"/>
                <w:szCs w:val="16"/>
              </w:rPr>
            </w:pPr>
            <w:r w:rsidRPr="00BF1B19">
              <w:rPr>
                <w:color w:val="000000"/>
                <w:sz w:val="16"/>
                <w:szCs w:val="16"/>
              </w:rPr>
              <w:t>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4375000E" w14:textId="28F38817" w:rsidR="001B2ECC" w:rsidRPr="00BF1B19" w:rsidRDefault="001B2ECC" w:rsidP="00745689">
            <w:pPr>
              <w:keepNext/>
              <w:jc w:val="center"/>
              <w:rPr>
                <w:sz w:val="16"/>
                <w:szCs w:val="16"/>
              </w:rPr>
            </w:pPr>
            <w:r w:rsidRPr="00BF1B19">
              <w:rPr>
                <w:color w:val="000000"/>
                <w:sz w:val="16"/>
                <w:szCs w:val="16"/>
              </w:rPr>
              <w:t>102,600.00</w:t>
            </w:r>
          </w:p>
        </w:tc>
      </w:tr>
      <w:tr w:rsidR="009D18A4" w:rsidRPr="00BF1B19" w14:paraId="6B07CAD6" w14:textId="77777777" w:rsidTr="009D18A4">
        <w:trPr>
          <w:trHeight w:val="503"/>
          <w:jc w:val="right"/>
        </w:trPr>
        <w:tc>
          <w:tcPr>
            <w:tcW w:w="8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009DB1CE" w14:textId="77777777" w:rsidR="001B2ECC" w:rsidRPr="00BF1B19" w:rsidRDefault="001B2ECC" w:rsidP="00745689">
            <w:pPr>
              <w:keepNext/>
              <w:rPr>
                <w:sz w:val="16"/>
                <w:szCs w:val="16"/>
              </w:rPr>
            </w:pPr>
            <w:r w:rsidRPr="00BF1B19">
              <w:rPr>
                <w:b/>
                <w:bCs/>
                <w:color w:val="000000"/>
                <w:sz w:val="16"/>
                <w:szCs w:val="16"/>
              </w:rPr>
              <w:t>Year 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F95B451" w14:textId="089C7A4E" w:rsidR="001B2ECC" w:rsidRPr="00BF1B19" w:rsidRDefault="001B2ECC" w:rsidP="00745689">
            <w:pPr>
              <w:keepNext/>
              <w:jc w:val="center"/>
              <w:rPr>
                <w:color w:val="000000"/>
                <w:sz w:val="16"/>
                <w:szCs w:val="16"/>
              </w:rPr>
            </w:pPr>
            <w:r w:rsidRPr="00BF1B19">
              <w:rPr>
                <w:color w:val="000000"/>
                <w:sz w:val="16"/>
                <w:szCs w:val="16"/>
              </w:rPr>
              <w:t>102,600.00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6A54B7DE" w14:textId="633C6904" w:rsidR="001B2ECC" w:rsidRPr="00BF1B19" w:rsidRDefault="001B2ECC" w:rsidP="00745689">
            <w:pPr>
              <w:keepNext/>
              <w:jc w:val="center"/>
              <w:rPr>
                <w:sz w:val="16"/>
                <w:szCs w:val="16"/>
              </w:rPr>
            </w:pPr>
            <w:r w:rsidRPr="00BF1B19">
              <w:rPr>
                <w:color w:val="000000"/>
                <w:sz w:val="16"/>
                <w:szCs w:val="16"/>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68908CED" w14:textId="23B39F11" w:rsidR="001B2ECC" w:rsidRPr="00BF1B19" w:rsidRDefault="001B2ECC" w:rsidP="00745689">
            <w:pPr>
              <w:keepNext/>
              <w:jc w:val="center"/>
              <w:rPr>
                <w:sz w:val="16"/>
                <w:szCs w:val="16"/>
              </w:rPr>
            </w:pPr>
            <w:r w:rsidRPr="00BF1B19">
              <w:rPr>
                <w:color w:val="000000"/>
                <w:sz w:val="16"/>
                <w:szCs w:val="16"/>
              </w:rPr>
              <w:t>107,730.00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52FA43E" w14:textId="50D52888" w:rsidR="001B2ECC" w:rsidRPr="00BF1B19" w:rsidRDefault="001B2ECC" w:rsidP="00745689">
            <w:pPr>
              <w:keepNext/>
              <w:jc w:val="center"/>
              <w:rPr>
                <w:color w:val="000000"/>
                <w:sz w:val="16"/>
                <w:szCs w:val="16"/>
              </w:rPr>
            </w:pPr>
            <w:r w:rsidRPr="00BF1B19">
              <w:rPr>
                <w:color w:val="000000"/>
                <w:sz w:val="16"/>
                <w:szCs w:val="16"/>
              </w:rPr>
              <w:t>108</w:t>
            </w:r>
            <w:r w:rsidR="00AC2B39" w:rsidRPr="00BF1B19">
              <w:rPr>
                <w:color w:val="000000"/>
                <w:sz w:val="16"/>
                <w:szCs w:val="16"/>
              </w:rPr>
              <w:t>,000</w:t>
            </w:r>
            <w:r w:rsidRPr="00BF1B19">
              <w:rPr>
                <w:color w:val="000000"/>
                <w:sz w:val="16"/>
                <w:szCs w:val="16"/>
              </w:rPr>
              <w:t>.00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33BA660" w14:textId="53F5AF77" w:rsidR="001B2ECC" w:rsidRPr="00BF1B19" w:rsidRDefault="001B2ECC" w:rsidP="00745689">
            <w:pPr>
              <w:keepNext/>
              <w:jc w:val="center"/>
              <w:rPr>
                <w:sz w:val="16"/>
                <w:szCs w:val="16"/>
              </w:rPr>
            </w:pPr>
            <w:r w:rsidRPr="00BF1B19">
              <w:rPr>
                <w:color w:val="000000"/>
                <w:sz w:val="16"/>
                <w:szCs w:val="16"/>
              </w:rPr>
              <w:t>(270</w:t>
            </w:r>
            <w:r w:rsidR="00960A11" w:rsidRPr="00BF1B19">
              <w:rPr>
                <w:color w:val="000000"/>
                <w:sz w:val="16"/>
                <w:szCs w:val="16"/>
              </w:rPr>
              <w:t>.00</w:t>
            </w:r>
            <w:r w:rsidRPr="00BF1B19">
              <w:rPr>
                <w:color w:val="000000"/>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526AAD68" w14:textId="77777777" w:rsidR="001B2ECC" w:rsidRPr="00BF1B19" w:rsidRDefault="001B2ECC" w:rsidP="00745689">
            <w:pPr>
              <w:keepNext/>
              <w:jc w:val="center"/>
              <w:rPr>
                <w:sz w:val="16"/>
                <w:szCs w:val="16"/>
              </w:rPr>
            </w:pPr>
            <w:r w:rsidRPr="00BF1B19">
              <w:rPr>
                <w:color w:val="000000"/>
                <w:sz w:val="16"/>
                <w:szCs w:val="16"/>
              </w:rPr>
              <w:t>N</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hideMark/>
          </w:tcPr>
          <w:p w14:paraId="618B446C" w14:textId="77777777" w:rsidR="001B2ECC" w:rsidRPr="00BF1B19" w:rsidRDefault="001B2ECC" w:rsidP="00745689">
            <w:pPr>
              <w:keepNext/>
              <w:jc w:val="center"/>
              <w:rPr>
                <w:sz w:val="16"/>
                <w:szCs w:val="16"/>
              </w:rPr>
            </w:pPr>
            <w:r w:rsidRPr="00BF1B19">
              <w:rPr>
                <w:color w:val="000000"/>
                <w:sz w:val="16"/>
                <w:szCs w:val="16"/>
              </w:rPr>
              <w:t>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36CCD4AD" w14:textId="4DE49C07" w:rsidR="001B2ECC" w:rsidRPr="00BF1B19" w:rsidRDefault="001B2ECC" w:rsidP="00745689">
            <w:pPr>
              <w:keepNext/>
              <w:jc w:val="center"/>
              <w:rPr>
                <w:sz w:val="16"/>
                <w:szCs w:val="16"/>
              </w:rPr>
            </w:pPr>
            <w:r w:rsidRPr="00BF1B19">
              <w:rPr>
                <w:color w:val="000000"/>
                <w:sz w:val="16"/>
                <w:szCs w:val="16"/>
              </w:rPr>
              <w:t>107,730.00</w:t>
            </w:r>
          </w:p>
        </w:tc>
      </w:tr>
      <w:tr w:rsidR="009D18A4" w:rsidRPr="00BF1B19" w14:paraId="5DAEF1D4" w14:textId="77777777" w:rsidTr="009D18A4">
        <w:trPr>
          <w:trHeight w:val="503"/>
          <w:jc w:val="right"/>
        </w:trPr>
        <w:tc>
          <w:tcPr>
            <w:tcW w:w="8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4FD535A" w14:textId="77777777" w:rsidR="001B2ECC" w:rsidRPr="00BF1B19" w:rsidRDefault="001B2ECC" w:rsidP="00745689">
            <w:pPr>
              <w:keepNext/>
              <w:rPr>
                <w:sz w:val="16"/>
                <w:szCs w:val="16"/>
              </w:rPr>
            </w:pPr>
            <w:r w:rsidRPr="00BF1B19">
              <w:rPr>
                <w:b/>
                <w:bCs/>
                <w:color w:val="000000"/>
                <w:sz w:val="16"/>
                <w:szCs w:val="16"/>
              </w:rPr>
              <w:t>Year 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58C31DE" w14:textId="1AB3DE56" w:rsidR="001B2ECC" w:rsidRPr="00BF1B19" w:rsidRDefault="001B2ECC" w:rsidP="00745689">
            <w:pPr>
              <w:keepNext/>
              <w:jc w:val="center"/>
              <w:rPr>
                <w:color w:val="000000"/>
                <w:sz w:val="16"/>
                <w:szCs w:val="16"/>
              </w:rPr>
            </w:pPr>
            <w:r w:rsidRPr="00BF1B19">
              <w:rPr>
                <w:color w:val="000000"/>
                <w:sz w:val="16"/>
                <w:szCs w:val="16"/>
              </w:rPr>
              <w:t>107,730.00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59565171" w14:textId="4D33568D" w:rsidR="001B2ECC" w:rsidRPr="00BF1B19" w:rsidRDefault="001B2ECC" w:rsidP="00745689">
            <w:pPr>
              <w:keepNext/>
              <w:jc w:val="center"/>
              <w:rPr>
                <w:sz w:val="16"/>
                <w:szCs w:val="16"/>
              </w:rPr>
            </w:pPr>
            <w:r w:rsidRPr="00BF1B19">
              <w:rPr>
                <w:color w:val="000000"/>
                <w:sz w:val="16"/>
                <w:szCs w:val="16"/>
              </w:rPr>
              <w:t>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30D85FC2" w14:textId="5A37D462" w:rsidR="001B2ECC" w:rsidRPr="00BF1B19" w:rsidRDefault="001B2ECC" w:rsidP="00745689">
            <w:pPr>
              <w:keepNext/>
              <w:jc w:val="center"/>
              <w:rPr>
                <w:sz w:val="16"/>
                <w:szCs w:val="16"/>
              </w:rPr>
            </w:pPr>
            <w:r w:rsidRPr="00BF1B19">
              <w:rPr>
                <w:color w:val="000000"/>
                <w:sz w:val="16"/>
                <w:szCs w:val="16"/>
              </w:rPr>
              <w:t>129,276.00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EE0EB31" w14:textId="31668979" w:rsidR="001B2ECC" w:rsidRPr="00BF1B19" w:rsidRDefault="001B2ECC" w:rsidP="00745689">
            <w:pPr>
              <w:keepNext/>
              <w:jc w:val="center"/>
              <w:rPr>
                <w:color w:val="000000"/>
                <w:sz w:val="16"/>
                <w:szCs w:val="16"/>
              </w:rPr>
            </w:pPr>
            <w:r w:rsidRPr="00BF1B19">
              <w:rPr>
                <w:color w:val="000000"/>
                <w:sz w:val="16"/>
                <w:szCs w:val="16"/>
              </w:rPr>
              <w:t>108</w:t>
            </w:r>
            <w:r w:rsidR="00AC2B39" w:rsidRPr="00BF1B19">
              <w:rPr>
                <w:color w:val="000000"/>
                <w:sz w:val="16"/>
                <w:szCs w:val="16"/>
              </w:rPr>
              <w:t>,000</w:t>
            </w:r>
            <w:r w:rsidRPr="00BF1B19">
              <w:rPr>
                <w:color w:val="000000"/>
                <w:sz w:val="16"/>
                <w:szCs w:val="16"/>
              </w:rPr>
              <w:t>.00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273F77B1" w14:textId="0FBC8903" w:rsidR="001B2ECC" w:rsidRPr="00BF1B19" w:rsidRDefault="001B2ECC" w:rsidP="00745689">
            <w:pPr>
              <w:keepNext/>
              <w:jc w:val="center"/>
              <w:rPr>
                <w:sz w:val="16"/>
                <w:szCs w:val="16"/>
              </w:rPr>
            </w:pPr>
            <w:r w:rsidRPr="00BF1B19">
              <w:rPr>
                <w:sz w:val="16"/>
                <w:szCs w:val="16"/>
              </w:rPr>
              <w:t>21,276.00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48DF88DB" w14:textId="77777777" w:rsidR="001B2ECC" w:rsidRPr="00BF1B19" w:rsidRDefault="001B2ECC" w:rsidP="00745689">
            <w:pPr>
              <w:keepNext/>
              <w:jc w:val="center"/>
              <w:rPr>
                <w:sz w:val="16"/>
                <w:szCs w:val="16"/>
              </w:rPr>
            </w:pPr>
            <w:r w:rsidRPr="00BF1B19">
              <w:rPr>
                <w:color w:val="000000"/>
                <w:sz w:val="16"/>
                <w:szCs w:val="16"/>
              </w:rPr>
              <w:t>Y</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hideMark/>
          </w:tcPr>
          <w:p w14:paraId="4292254E" w14:textId="2941A84B" w:rsidR="001B2ECC" w:rsidRPr="00BF1B19" w:rsidRDefault="001B2ECC" w:rsidP="00745689">
            <w:pPr>
              <w:keepNext/>
              <w:jc w:val="center"/>
              <w:rPr>
                <w:sz w:val="16"/>
                <w:szCs w:val="16"/>
              </w:rPr>
            </w:pPr>
            <w:r w:rsidRPr="00BF1B19">
              <w:rPr>
                <w:sz w:val="16"/>
                <w:szCs w:val="16"/>
              </w:rPr>
              <w:t>4,255.20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BAE02D0" w14:textId="1AC3694B" w:rsidR="001B2ECC" w:rsidRPr="00BF1B19" w:rsidRDefault="001B2ECC" w:rsidP="00745689">
            <w:pPr>
              <w:keepNext/>
              <w:jc w:val="center"/>
              <w:rPr>
                <w:sz w:val="16"/>
                <w:szCs w:val="16"/>
              </w:rPr>
            </w:pPr>
            <w:r w:rsidRPr="00BF1B19">
              <w:rPr>
                <w:color w:val="000000"/>
                <w:sz w:val="16"/>
                <w:szCs w:val="16"/>
              </w:rPr>
              <w:t>125,020.80</w:t>
            </w:r>
          </w:p>
        </w:tc>
      </w:tr>
      <w:tr w:rsidR="009D18A4" w:rsidRPr="00BF1B19" w14:paraId="3EF611AC" w14:textId="77777777" w:rsidTr="009D18A4">
        <w:trPr>
          <w:trHeight w:val="503"/>
          <w:jc w:val="right"/>
        </w:trPr>
        <w:tc>
          <w:tcPr>
            <w:tcW w:w="8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B802D0E" w14:textId="77777777" w:rsidR="001B2ECC" w:rsidRPr="00BF1B19" w:rsidRDefault="001B2ECC" w:rsidP="00745689">
            <w:pPr>
              <w:keepNext/>
              <w:rPr>
                <w:b/>
                <w:bCs/>
                <w:color w:val="000000"/>
                <w:sz w:val="16"/>
                <w:szCs w:val="16"/>
              </w:rPr>
            </w:pPr>
            <w:r w:rsidRPr="00BF1B19">
              <w:rPr>
                <w:b/>
                <w:bCs/>
                <w:color w:val="000000"/>
                <w:sz w:val="16"/>
                <w:szCs w:val="16"/>
              </w:rPr>
              <w:t>Year 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F9674EE" w14:textId="28ADF2F4" w:rsidR="001B2ECC" w:rsidRPr="00BF1B19" w:rsidRDefault="001B2ECC" w:rsidP="00745689">
            <w:pPr>
              <w:keepNext/>
              <w:jc w:val="center"/>
              <w:rPr>
                <w:color w:val="000000"/>
                <w:sz w:val="16"/>
                <w:szCs w:val="16"/>
              </w:rPr>
            </w:pPr>
            <w:r w:rsidRPr="00BF1B19">
              <w:rPr>
                <w:color w:val="000000"/>
                <w:sz w:val="16"/>
                <w:szCs w:val="16"/>
              </w:rPr>
              <w:t>125,020.80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1A34912" w14:textId="2E61F8E7" w:rsidR="001B2ECC" w:rsidRPr="00BF1B19" w:rsidRDefault="001B2ECC" w:rsidP="00745689">
            <w:pPr>
              <w:keepNext/>
              <w:jc w:val="center"/>
              <w:rPr>
                <w:color w:val="000000"/>
                <w:sz w:val="16"/>
                <w:szCs w:val="16"/>
              </w:rPr>
            </w:pPr>
            <w:r w:rsidRPr="00BF1B19">
              <w:rPr>
                <w:color w:val="000000"/>
                <w:sz w:val="16"/>
                <w:szCs w:val="16"/>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008AAF66" w14:textId="34FEA1AF" w:rsidR="001B2ECC" w:rsidRPr="00BF1B19" w:rsidRDefault="001B2ECC" w:rsidP="00745689">
            <w:pPr>
              <w:keepNext/>
              <w:jc w:val="center"/>
              <w:rPr>
                <w:color w:val="000000"/>
                <w:sz w:val="16"/>
                <w:szCs w:val="16"/>
              </w:rPr>
            </w:pPr>
            <w:r w:rsidRPr="00BF1B19">
              <w:rPr>
                <w:color w:val="000000"/>
                <w:sz w:val="16"/>
                <w:szCs w:val="16"/>
              </w:rPr>
              <w:t>137,522.88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1267D45" w14:textId="4F5C7A58" w:rsidR="001B2ECC" w:rsidRPr="00BF1B19" w:rsidRDefault="001B2ECC" w:rsidP="00745689">
            <w:pPr>
              <w:keepNext/>
              <w:jc w:val="center"/>
              <w:rPr>
                <w:color w:val="000000"/>
                <w:sz w:val="16"/>
                <w:szCs w:val="16"/>
              </w:rPr>
            </w:pPr>
            <w:r w:rsidRPr="00BF1B19">
              <w:rPr>
                <w:color w:val="000000"/>
                <w:sz w:val="16"/>
                <w:szCs w:val="16"/>
              </w:rPr>
              <w:t>125</w:t>
            </w:r>
            <w:r w:rsidR="00AC2B39" w:rsidRPr="00BF1B19">
              <w:rPr>
                <w:color w:val="000000"/>
                <w:sz w:val="16"/>
                <w:szCs w:val="16"/>
              </w:rPr>
              <w:t>,</w:t>
            </w:r>
            <w:r w:rsidRPr="00BF1B19">
              <w:rPr>
                <w:color w:val="000000"/>
                <w:sz w:val="16"/>
                <w:szCs w:val="16"/>
              </w:rPr>
              <w:t>02</w:t>
            </w:r>
            <w:r w:rsidR="00AC2B39" w:rsidRPr="00BF1B19">
              <w:rPr>
                <w:color w:val="000000"/>
                <w:sz w:val="16"/>
                <w:szCs w:val="16"/>
              </w:rPr>
              <w:t>0.80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D0C431A" w14:textId="25AB8BFF" w:rsidR="001B2ECC" w:rsidRPr="00BF1B19" w:rsidRDefault="001B2ECC" w:rsidP="00745689">
            <w:pPr>
              <w:keepNext/>
              <w:jc w:val="center"/>
              <w:rPr>
                <w:color w:val="000000"/>
                <w:sz w:val="16"/>
                <w:szCs w:val="16"/>
              </w:rPr>
            </w:pPr>
            <w:r w:rsidRPr="00BF1B19">
              <w:rPr>
                <w:color w:val="000000"/>
                <w:sz w:val="16"/>
                <w:szCs w:val="16"/>
              </w:rPr>
              <w:t>12,502.08</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5A77359A" w14:textId="77777777" w:rsidR="001B2ECC" w:rsidRPr="00BF1B19" w:rsidRDefault="001B2ECC" w:rsidP="00745689">
            <w:pPr>
              <w:keepNext/>
              <w:jc w:val="center"/>
              <w:rPr>
                <w:color w:val="000000"/>
                <w:sz w:val="16"/>
                <w:szCs w:val="16"/>
              </w:rPr>
            </w:pPr>
            <w:r w:rsidRPr="00BF1B19">
              <w:rPr>
                <w:color w:val="000000"/>
                <w:sz w:val="16"/>
                <w:szCs w:val="16"/>
              </w:rPr>
              <w:t>Y</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hideMark/>
          </w:tcPr>
          <w:p w14:paraId="2A504A36" w14:textId="6F4BB936" w:rsidR="001B2ECC" w:rsidRPr="00BF1B19" w:rsidRDefault="001B2ECC" w:rsidP="00745689">
            <w:pPr>
              <w:keepNext/>
              <w:jc w:val="center"/>
              <w:rPr>
                <w:color w:val="000000"/>
                <w:sz w:val="16"/>
                <w:szCs w:val="16"/>
              </w:rPr>
            </w:pPr>
            <w:r w:rsidRPr="00BF1B19">
              <w:rPr>
                <w:color w:val="000000"/>
                <w:sz w:val="16"/>
                <w:szCs w:val="16"/>
              </w:rPr>
              <w:t>2,500.42</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653BB75B" w14:textId="4AAB3BFF" w:rsidR="001B2ECC" w:rsidRPr="00BF1B19" w:rsidRDefault="001B2ECC" w:rsidP="00745689">
            <w:pPr>
              <w:keepNext/>
              <w:jc w:val="center"/>
              <w:rPr>
                <w:color w:val="000000"/>
                <w:sz w:val="16"/>
                <w:szCs w:val="16"/>
              </w:rPr>
            </w:pPr>
            <w:r w:rsidRPr="00BF1B19">
              <w:rPr>
                <w:color w:val="000000"/>
                <w:sz w:val="16"/>
                <w:szCs w:val="16"/>
              </w:rPr>
              <w:t>135,022.46</w:t>
            </w:r>
          </w:p>
        </w:tc>
      </w:tr>
    </w:tbl>
    <w:p w14:paraId="63D05C58" w14:textId="77FF0600" w:rsidR="00BA1186" w:rsidRPr="00BF1B19" w:rsidRDefault="00BA1186" w:rsidP="005F28D3">
      <w:pPr>
        <w:pStyle w:val="BodyText"/>
        <w:ind w:left="720" w:right="125"/>
        <w:jc w:val="both"/>
      </w:pPr>
    </w:p>
    <w:p w14:paraId="68AE8218" w14:textId="2414CE93" w:rsidR="0022101A" w:rsidRPr="00BF1B19" w:rsidRDefault="00BA1186" w:rsidP="005F28D3">
      <w:pPr>
        <w:pStyle w:val="BodyText"/>
        <w:ind w:left="720"/>
        <w:jc w:val="both"/>
      </w:pPr>
      <w:r w:rsidRPr="00BF1B19">
        <w:t xml:space="preserve">This </w:t>
      </w:r>
      <w:r w:rsidR="0022101A" w:rsidRPr="00BF1B19">
        <w:t xml:space="preserve">illustrative example </w:t>
      </w:r>
      <w:r w:rsidRPr="00BF1B19">
        <w:t xml:space="preserve">assumes that an investment of </w:t>
      </w:r>
      <w:proofErr w:type="spellStart"/>
      <w:r w:rsidR="0022101A" w:rsidRPr="00BF1B19">
        <w:t>US</w:t>
      </w:r>
      <w:r w:rsidRPr="00BF1B19">
        <w:t>$100,000</w:t>
      </w:r>
      <w:proofErr w:type="spellEnd"/>
      <w:r w:rsidRPr="00BF1B19">
        <w:t xml:space="preserve"> is made on the first day of the calendar year in </w:t>
      </w:r>
      <w:r w:rsidR="00960A11" w:rsidRPr="00BF1B19">
        <w:t xml:space="preserve">either </w:t>
      </w:r>
      <w:r w:rsidRPr="00BF1B19">
        <w:t xml:space="preserve">Class </w:t>
      </w:r>
      <w:r w:rsidRPr="00A1648F">
        <w:t xml:space="preserve">I, </w:t>
      </w:r>
      <w:r w:rsidR="0022101A" w:rsidRPr="00BF1B19">
        <w:t>S</w:t>
      </w:r>
      <w:r w:rsidR="00960A11" w:rsidRPr="00BF1B19">
        <w:t xml:space="preserve">, R or </w:t>
      </w:r>
      <w:r w:rsidR="0022101A" w:rsidRPr="00BF1B19">
        <w:t>J</w:t>
      </w:r>
      <w:r w:rsidRPr="00BF1B19">
        <w:t xml:space="preserve">, </w:t>
      </w:r>
      <w:r w:rsidR="0022101A" w:rsidRPr="00BF1B19">
        <w:t xml:space="preserve">each Class of </w:t>
      </w:r>
      <w:r w:rsidRPr="00BF1B19">
        <w:t xml:space="preserve">which attracts a Performance Fee of 20%. </w:t>
      </w:r>
    </w:p>
    <w:p w14:paraId="6793534B" w14:textId="19EF64AD" w:rsidR="0022101A" w:rsidRPr="00BF1B19" w:rsidRDefault="0022101A" w:rsidP="005F28D3">
      <w:pPr>
        <w:pStyle w:val="BodyText"/>
        <w:ind w:left="720"/>
        <w:jc w:val="both"/>
      </w:pPr>
    </w:p>
    <w:p w14:paraId="41F21BC4" w14:textId="02BC836E" w:rsidR="0022101A" w:rsidRPr="00BF1B19" w:rsidRDefault="0022101A" w:rsidP="005F28D3">
      <w:pPr>
        <w:pStyle w:val="BodyText"/>
        <w:ind w:left="720"/>
        <w:jc w:val="both"/>
      </w:pPr>
      <w:r w:rsidRPr="00BF1B19">
        <w:t xml:space="preserve">In Year 1, the returns of Class </w:t>
      </w:r>
      <w:r w:rsidRPr="00A1648F">
        <w:t>I/</w:t>
      </w:r>
      <w:r w:rsidRPr="00BF1B19">
        <w:t>S/</w:t>
      </w:r>
      <w:r w:rsidR="00F10D8B" w:rsidRPr="00BF1B19">
        <w:t>R/</w:t>
      </w:r>
      <w:r w:rsidRPr="00BF1B19">
        <w:t xml:space="preserve">J </w:t>
      </w:r>
      <w:proofErr w:type="gramStart"/>
      <w:r w:rsidRPr="00BF1B19">
        <w:t>is</w:t>
      </w:r>
      <w:proofErr w:type="gramEnd"/>
      <w:r w:rsidRPr="00BF1B19">
        <w:t xml:space="preserve"> 10%, meaning that the initial </w:t>
      </w:r>
      <w:proofErr w:type="spellStart"/>
      <w:r w:rsidRPr="00BF1B19">
        <w:t>US$100,000</w:t>
      </w:r>
      <w:proofErr w:type="spellEnd"/>
      <w:r w:rsidRPr="00BF1B19">
        <w:t xml:space="preserve"> invested in Class </w:t>
      </w:r>
      <w:r w:rsidRPr="00A1648F">
        <w:t>I/</w:t>
      </w:r>
      <w:r w:rsidRPr="00BF1B19">
        <w:t>S/</w:t>
      </w:r>
      <w:r w:rsidR="00F10D8B" w:rsidRPr="00BF1B19">
        <w:t>R/</w:t>
      </w:r>
      <w:r w:rsidRPr="00BF1B19">
        <w:t xml:space="preserve">J is worth </w:t>
      </w:r>
      <w:proofErr w:type="spellStart"/>
      <w:r w:rsidRPr="00BF1B19">
        <w:t>US$110,000</w:t>
      </w:r>
      <w:proofErr w:type="spellEnd"/>
      <w:r w:rsidR="00680233" w:rsidRPr="00BF1B19">
        <w:t xml:space="preserve"> at the end of Year 1</w:t>
      </w:r>
      <w:r w:rsidRPr="00BF1B19">
        <w:t xml:space="preserve">. For the first Performance Period, the Performance Fee </w:t>
      </w:r>
      <w:r w:rsidR="005F722B" w:rsidRPr="00BF1B19">
        <w:t xml:space="preserve">is </w:t>
      </w:r>
      <w:r w:rsidRPr="00BF1B19">
        <w:t xml:space="preserve">20% of the appreciation of the Net Asset Value per </w:t>
      </w:r>
      <w:r w:rsidR="00F10D8B" w:rsidRPr="00BF1B19">
        <w:t>Class</w:t>
      </w:r>
      <w:r w:rsidRPr="00BF1B19">
        <w:t xml:space="preserve"> above the </w:t>
      </w:r>
      <w:r w:rsidR="00BD4DBC" w:rsidRPr="00BF1B19">
        <w:t>i</w:t>
      </w:r>
      <w:r w:rsidRPr="00BF1B19">
        <w:t xml:space="preserve">nitial </w:t>
      </w:r>
      <w:r w:rsidR="00F10D8B" w:rsidRPr="00BF1B19">
        <w:t>investment value</w:t>
      </w:r>
      <w:r w:rsidRPr="00BF1B19">
        <w:t xml:space="preserve">. The Performance Fee is 20% of </w:t>
      </w:r>
      <w:proofErr w:type="spellStart"/>
      <w:r w:rsidRPr="00BF1B19">
        <w:t>US$10,000</w:t>
      </w:r>
      <w:proofErr w:type="spellEnd"/>
      <w:r w:rsidR="005F722B" w:rsidRPr="00BF1B19">
        <w:t xml:space="preserve">, which equals to </w:t>
      </w:r>
      <w:proofErr w:type="spellStart"/>
      <w:r w:rsidR="005F722B" w:rsidRPr="00BF1B19">
        <w:t>US$2,000</w:t>
      </w:r>
      <w:proofErr w:type="spellEnd"/>
      <w:r w:rsidRPr="00BF1B19">
        <w:t xml:space="preserve">. This </w:t>
      </w:r>
      <w:proofErr w:type="spellStart"/>
      <w:r w:rsidR="005F722B" w:rsidRPr="00BF1B19">
        <w:t>US$2,000</w:t>
      </w:r>
      <w:proofErr w:type="spellEnd"/>
      <w:r w:rsidR="005F722B" w:rsidRPr="00BF1B19">
        <w:t xml:space="preserve"> </w:t>
      </w:r>
      <w:r w:rsidRPr="00BF1B19">
        <w:t xml:space="preserve">is deducted from the value of the holding, leaving </w:t>
      </w:r>
      <w:proofErr w:type="spellStart"/>
      <w:r w:rsidR="005F722B" w:rsidRPr="00BF1B19">
        <w:t>US</w:t>
      </w:r>
      <w:r w:rsidRPr="00BF1B19">
        <w:t>$10</w:t>
      </w:r>
      <w:r w:rsidR="005F722B" w:rsidRPr="00BF1B19">
        <w:t>8</w:t>
      </w:r>
      <w:r w:rsidRPr="00BF1B19">
        <w:t>,000</w:t>
      </w:r>
      <w:proofErr w:type="spellEnd"/>
      <w:r w:rsidRPr="00BF1B19">
        <w:t xml:space="preserve"> for the Shareholder</w:t>
      </w:r>
      <w:r w:rsidR="003E7CA6" w:rsidRPr="00BF1B19">
        <w:t>.</w:t>
      </w:r>
      <w:r w:rsidRPr="00BF1B19">
        <w:t xml:space="preserve"> </w:t>
      </w:r>
      <w:r w:rsidR="003E7CA6" w:rsidRPr="00BF1B19">
        <w:t>T</w:t>
      </w:r>
      <w:r w:rsidRPr="00BF1B19">
        <w:t xml:space="preserve">he </w:t>
      </w:r>
      <w:r w:rsidR="006F30A2" w:rsidRPr="00BF1B19">
        <w:t xml:space="preserve">Peak Net Asset Value per </w:t>
      </w:r>
      <w:r w:rsidR="00F10D8B" w:rsidRPr="00BF1B19">
        <w:t>Class</w:t>
      </w:r>
      <w:r w:rsidR="003E7CA6" w:rsidRPr="00BF1B19">
        <w:t xml:space="preserve"> </w:t>
      </w:r>
      <w:r w:rsidR="0035791C" w:rsidRPr="00BF1B19">
        <w:t>at the end of</w:t>
      </w:r>
      <w:r w:rsidR="003E7CA6" w:rsidRPr="00BF1B19">
        <w:t xml:space="preserve"> Year 1 is </w:t>
      </w:r>
      <w:r w:rsidR="004C71AE" w:rsidRPr="00BF1B19">
        <w:t xml:space="preserve">therefore </w:t>
      </w:r>
      <w:proofErr w:type="spellStart"/>
      <w:r w:rsidR="003E7CA6" w:rsidRPr="00BF1B19">
        <w:t>US$108</w:t>
      </w:r>
      <w:r w:rsidR="00F10D8B" w:rsidRPr="00BF1B19">
        <w:t>,000</w:t>
      </w:r>
      <w:proofErr w:type="spellEnd"/>
      <w:r w:rsidRPr="00BF1B19">
        <w:t>.</w:t>
      </w:r>
    </w:p>
    <w:p w14:paraId="00201010" w14:textId="77777777" w:rsidR="0022101A" w:rsidRPr="00BF1B19" w:rsidRDefault="0022101A" w:rsidP="005F28D3">
      <w:pPr>
        <w:pStyle w:val="BodyText"/>
        <w:ind w:left="720"/>
        <w:jc w:val="both"/>
      </w:pPr>
    </w:p>
    <w:p w14:paraId="67669CE1" w14:textId="150ABBF3" w:rsidR="00BA1186" w:rsidRPr="00BF1B19" w:rsidRDefault="00BA1186" w:rsidP="005F28D3">
      <w:pPr>
        <w:pStyle w:val="BodyText"/>
        <w:ind w:left="720"/>
        <w:jc w:val="both"/>
      </w:pPr>
      <w:r w:rsidRPr="00BF1B19">
        <w:t xml:space="preserve">In Year 2, </w:t>
      </w:r>
      <w:r w:rsidR="00680233" w:rsidRPr="00BF1B19">
        <w:t xml:space="preserve">Class </w:t>
      </w:r>
      <w:r w:rsidRPr="00A1648F">
        <w:t>I/</w:t>
      </w:r>
      <w:r w:rsidR="00680233" w:rsidRPr="00BF1B19">
        <w:t>S/</w:t>
      </w:r>
      <w:r w:rsidR="00F10D8B" w:rsidRPr="00BF1B19">
        <w:t>R/</w:t>
      </w:r>
      <w:r w:rsidR="00680233" w:rsidRPr="00BF1B19">
        <w:t xml:space="preserve">J’s </w:t>
      </w:r>
      <w:r w:rsidRPr="00BF1B19">
        <w:t>performance declines by 5%</w:t>
      </w:r>
      <w:r w:rsidR="00680233" w:rsidRPr="00BF1B19">
        <w:t xml:space="preserve">, meaning that the value of holding at the end of Year 2 is worth </w:t>
      </w:r>
      <w:proofErr w:type="spellStart"/>
      <w:r w:rsidR="00680233" w:rsidRPr="00BF1B19">
        <w:t>US$102,600</w:t>
      </w:r>
      <w:proofErr w:type="spellEnd"/>
      <w:r w:rsidR="00680233" w:rsidRPr="00BF1B19">
        <w:t xml:space="preserve">. </w:t>
      </w:r>
      <w:r w:rsidRPr="00BF1B19">
        <w:t xml:space="preserve">However, because the </w:t>
      </w:r>
      <w:r w:rsidR="00680233" w:rsidRPr="00BF1B19">
        <w:t xml:space="preserve">Net Asset Value </w:t>
      </w:r>
      <w:r w:rsidRPr="00BF1B19">
        <w:t xml:space="preserve">per </w:t>
      </w:r>
      <w:r w:rsidR="00F10D8B" w:rsidRPr="00BF1B19">
        <w:t>Class</w:t>
      </w:r>
      <w:r w:rsidRPr="00BF1B19">
        <w:t xml:space="preserve"> of </w:t>
      </w:r>
      <w:proofErr w:type="spellStart"/>
      <w:r w:rsidR="00680233" w:rsidRPr="00BF1B19">
        <w:t>US</w:t>
      </w:r>
      <w:r w:rsidRPr="00BF1B19">
        <w:t>$</w:t>
      </w:r>
      <w:r w:rsidR="00680233" w:rsidRPr="00BF1B19">
        <w:t>10</w:t>
      </w:r>
      <w:r w:rsidR="00F10D8B" w:rsidRPr="00BF1B19">
        <w:t>2,600</w:t>
      </w:r>
      <w:proofErr w:type="spellEnd"/>
      <w:r w:rsidR="00680233" w:rsidRPr="00BF1B19">
        <w:t xml:space="preserve"> </w:t>
      </w:r>
      <w:r w:rsidRPr="00BF1B19">
        <w:t xml:space="preserve">is below the </w:t>
      </w:r>
      <w:r w:rsidR="00680233" w:rsidRPr="00BF1B19">
        <w:t xml:space="preserve">Peak Net Asset Value per </w:t>
      </w:r>
      <w:r w:rsidR="00F10D8B" w:rsidRPr="00BF1B19">
        <w:t>Class</w:t>
      </w:r>
      <w:r w:rsidR="00680233" w:rsidRPr="00BF1B19">
        <w:t xml:space="preserve"> of </w:t>
      </w:r>
      <w:proofErr w:type="spellStart"/>
      <w:r w:rsidR="00680233" w:rsidRPr="00BF1B19">
        <w:t>US</w:t>
      </w:r>
      <w:r w:rsidRPr="00BF1B19">
        <w:t>$10</w:t>
      </w:r>
      <w:r w:rsidR="00680233" w:rsidRPr="00BF1B19">
        <w:t>8</w:t>
      </w:r>
      <w:r w:rsidRPr="00BF1B19">
        <w:t>,</w:t>
      </w:r>
      <w:r w:rsidR="00F10D8B" w:rsidRPr="00BF1B19">
        <w:t>000</w:t>
      </w:r>
      <w:proofErr w:type="spellEnd"/>
      <w:r w:rsidR="00F10D8B" w:rsidRPr="00BF1B19">
        <w:t>,</w:t>
      </w:r>
      <w:r w:rsidRPr="00BF1B19">
        <w:t xml:space="preserve"> no Performance Fee is charged.</w:t>
      </w:r>
      <w:r w:rsidR="00680233" w:rsidRPr="00BF1B19">
        <w:t xml:space="preserve"> The Peak Net Asset Value per </w:t>
      </w:r>
      <w:r w:rsidR="00F10D8B" w:rsidRPr="00BF1B19">
        <w:t>Class</w:t>
      </w:r>
      <w:r w:rsidR="00680233" w:rsidRPr="00BF1B19">
        <w:t xml:space="preserve"> </w:t>
      </w:r>
      <w:r w:rsidR="004C71AE" w:rsidRPr="00BF1B19">
        <w:t xml:space="preserve">at the end of Year 2 </w:t>
      </w:r>
      <w:r w:rsidR="00680233" w:rsidRPr="00BF1B19">
        <w:t xml:space="preserve">remains at </w:t>
      </w:r>
      <w:proofErr w:type="spellStart"/>
      <w:r w:rsidR="00680233" w:rsidRPr="00BF1B19">
        <w:t>US$108</w:t>
      </w:r>
      <w:r w:rsidR="00F10D8B" w:rsidRPr="00BF1B19">
        <w:t>,000</w:t>
      </w:r>
      <w:proofErr w:type="spellEnd"/>
      <w:r w:rsidR="00680233" w:rsidRPr="00BF1B19">
        <w:t>.</w:t>
      </w:r>
      <w:r w:rsidR="00AB70AC" w:rsidRPr="00BF1B19">
        <w:t xml:space="preserve"> </w:t>
      </w:r>
    </w:p>
    <w:p w14:paraId="71D9B77C" w14:textId="486103F6" w:rsidR="00680233" w:rsidRPr="00BF1B19" w:rsidRDefault="00680233" w:rsidP="005F28D3">
      <w:pPr>
        <w:pStyle w:val="BodyText"/>
        <w:ind w:left="720"/>
        <w:jc w:val="both"/>
      </w:pPr>
    </w:p>
    <w:p w14:paraId="3F26E530" w14:textId="57D91A77" w:rsidR="00BA1186" w:rsidRPr="00BF1B19" w:rsidRDefault="00BA1186" w:rsidP="005F28D3">
      <w:pPr>
        <w:pStyle w:val="BodyText"/>
        <w:ind w:left="720"/>
        <w:jc w:val="both"/>
      </w:pPr>
      <w:r w:rsidRPr="00BF1B19">
        <w:t xml:space="preserve">In Year 3, </w:t>
      </w:r>
      <w:r w:rsidR="00680233" w:rsidRPr="00BF1B19">
        <w:t xml:space="preserve">the returns of </w:t>
      </w:r>
      <w:r w:rsidRPr="00BF1B19">
        <w:t xml:space="preserve">Class </w:t>
      </w:r>
      <w:r w:rsidRPr="00A1648F">
        <w:t>I/</w:t>
      </w:r>
      <w:r w:rsidR="00680233" w:rsidRPr="00BF1B19">
        <w:t>S/</w:t>
      </w:r>
      <w:r w:rsidR="00F10D8B" w:rsidRPr="00BF1B19">
        <w:t>R/</w:t>
      </w:r>
      <w:r w:rsidR="00680233" w:rsidRPr="00BF1B19">
        <w:t>J</w:t>
      </w:r>
      <w:r w:rsidRPr="00BF1B19">
        <w:t xml:space="preserve"> </w:t>
      </w:r>
      <w:proofErr w:type="gramStart"/>
      <w:r w:rsidR="00680233" w:rsidRPr="00BF1B19">
        <w:t>is</w:t>
      </w:r>
      <w:proofErr w:type="gramEnd"/>
      <w:r w:rsidR="00680233" w:rsidRPr="00BF1B19">
        <w:t xml:space="preserve"> </w:t>
      </w:r>
      <w:r w:rsidRPr="00BF1B19">
        <w:t>5%</w:t>
      </w:r>
      <w:r w:rsidR="00680233" w:rsidRPr="00BF1B19">
        <w:t>, meaning that the value of holding at the end of Year 3 is worth</w:t>
      </w:r>
      <w:r w:rsidR="003E7CA6" w:rsidRPr="00BF1B19">
        <w:t xml:space="preserve"> </w:t>
      </w:r>
      <w:proofErr w:type="spellStart"/>
      <w:r w:rsidR="00680233" w:rsidRPr="00BF1B19">
        <w:t>US$107,730</w:t>
      </w:r>
      <w:proofErr w:type="spellEnd"/>
      <w:r w:rsidRPr="00BF1B19">
        <w:t xml:space="preserve">. Again, no Performance Fee is </w:t>
      </w:r>
      <w:r w:rsidR="00680233" w:rsidRPr="00BF1B19">
        <w:t xml:space="preserve">charged as the Net Asset Value per </w:t>
      </w:r>
      <w:r w:rsidR="00F10D8B" w:rsidRPr="00BF1B19">
        <w:t>Class</w:t>
      </w:r>
      <w:r w:rsidR="00680233" w:rsidRPr="00BF1B19">
        <w:t xml:space="preserve"> of </w:t>
      </w:r>
      <w:proofErr w:type="spellStart"/>
      <w:r w:rsidR="00680233" w:rsidRPr="00BF1B19">
        <w:t>US$107</w:t>
      </w:r>
      <w:r w:rsidR="00F10D8B" w:rsidRPr="00BF1B19">
        <w:t>,</w:t>
      </w:r>
      <w:r w:rsidR="00680233" w:rsidRPr="00BF1B19">
        <w:t>73</w:t>
      </w:r>
      <w:r w:rsidR="00F10D8B" w:rsidRPr="00BF1B19">
        <w:t>0</w:t>
      </w:r>
      <w:proofErr w:type="spellEnd"/>
      <w:r w:rsidR="00680233" w:rsidRPr="00BF1B19">
        <w:t xml:space="preserve"> is still below the Peak Net Asset Value per </w:t>
      </w:r>
      <w:r w:rsidR="00F10D8B" w:rsidRPr="00BF1B19">
        <w:t>Class</w:t>
      </w:r>
      <w:r w:rsidR="00680233" w:rsidRPr="00BF1B19">
        <w:t xml:space="preserve"> of </w:t>
      </w:r>
      <w:proofErr w:type="spellStart"/>
      <w:r w:rsidR="003E7CA6" w:rsidRPr="00BF1B19">
        <w:t>US$108</w:t>
      </w:r>
      <w:r w:rsidR="00F10D8B" w:rsidRPr="00BF1B19">
        <w:t>,000</w:t>
      </w:r>
      <w:proofErr w:type="spellEnd"/>
      <w:r w:rsidR="00680233" w:rsidRPr="00BF1B19">
        <w:t xml:space="preserve">. The Peak Net Asset Value per </w:t>
      </w:r>
      <w:r w:rsidR="00F10D8B" w:rsidRPr="00BF1B19">
        <w:t>Class</w:t>
      </w:r>
      <w:r w:rsidR="00680233" w:rsidRPr="00BF1B19">
        <w:t xml:space="preserve"> </w:t>
      </w:r>
      <w:r w:rsidR="004C71AE" w:rsidRPr="00BF1B19">
        <w:t xml:space="preserve">at the end of Year 3 </w:t>
      </w:r>
      <w:r w:rsidR="00680233" w:rsidRPr="00BF1B19">
        <w:t xml:space="preserve">remains at </w:t>
      </w:r>
      <w:proofErr w:type="spellStart"/>
      <w:r w:rsidR="00680233" w:rsidRPr="00BF1B19">
        <w:t>US$108</w:t>
      </w:r>
      <w:r w:rsidR="00F10D8B" w:rsidRPr="00BF1B19">
        <w:t>,000</w:t>
      </w:r>
      <w:proofErr w:type="spellEnd"/>
      <w:r w:rsidR="00680233" w:rsidRPr="00BF1B19">
        <w:t>.</w:t>
      </w:r>
      <w:r w:rsidR="00AB70AC" w:rsidRPr="00BF1B19">
        <w:t xml:space="preserve"> </w:t>
      </w:r>
    </w:p>
    <w:p w14:paraId="52334139" w14:textId="77777777" w:rsidR="00BA1186" w:rsidRPr="00BF1B19" w:rsidRDefault="00BA1186" w:rsidP="005F28D3">
      <w:pPr>
        <w:pStyle w:val="BodyText"/>
        <w:ind w:left="720"/>
        <w:jc w:val="both"/>
      </w:pPr>
    </w:p>
    <w:p w14:paraId="76AD9FB6" w14:textId="3ED9391F" w:rsidR="00680233" w:rsidRPr="00BF1B19" w:rsidRDefault="00BA1186" w:rsidP="005F28D3">
      <w:pPr>
        <w:pStyle w:val="BodyText"/>
        <w:ind w:left="720"/>
        <w:jc w:val="both"/>
      </w:pPr>
      <w:r w:rsidRPr="00BF1B19">
        <w:t xml:space="preserve">In Year 4, </w:t>
      </w:r>
      <w:r w:rsidR="00680233" w:rsidRPr="00BF1B19">
        <w:t xml:space="preserve">the returns of Class </w:t>
      </w:r>
      <w:r w:rsidRPr="00A1648F">
        <w:t>I/</w:t>
      </w:r>
      <w:r w:rsidR="00680233" w:rsidRPr="00BF1B19">
        <w:t>S/</w:t>
      </w:r>
      <w:r w:rsidR="00F10D8B" w:rsidRPr="00BF1B19">
        <w:t>R/</w:t>
      </w:r>
      <w:r w:rsidR="00680233" w:rsidRPr="00BF1B19">
        <w:t xml:space="preserve">J </w:t>
      </w:r>
      <w:proofErr w:type="gramStart"/>
      <w:r w:rsidR="00680233" w:rsidRPr="00BF1B19">
        <w:t>is</w:t>
      </w:r>
      <w:proofErr w:type="gramEnd"/>
      <w:r w:rsidR="00680233" w:rsidRPr="00BF1B19">
        <w:t xml:space="preserve"> </w:t>
      </w:r>
      <w:r w:rsidRPr="00BF1B19">
        <w:t xml:space="preserve">20%, </w:t>
      </w:r>
      <w:r w:rsidR="00680233" w:rsidRPr="00BF1B19">
        <w:t xml:space="preserve">meaning that the value of holding at the end of </w:t>
      </w:r>
      <w:r w:rsidR="003E7CA6" w:rsidRPr="00BF1B19">
        <w:t>Y</w:t>
      </w:r>
      <w:r w:rsidR="00680233" w:rsidRPr="00BF1B19">
        <w:t xml:space="preserve">ear 4 is worth </w:t>
      </w:r>
      <w:proofErr w:type="spellStart"/>
      <w:r w:rsidR="00680233" w:rsidRPr="00BF1B19">
        <w:t>US$</w:t>
      </w:r>
      <w:r w:rsidR="003E7CA6" w:rsidRPr="00BF1B19">
        <w:t>129,276</w:t>
      </w:r>
      <w:proofErr w:type="spellEnd"/>
      <w:r w:rsidR="003E7CA6" w:rsidRPr="00BF1B19">
        <w:t xml:space="preserve">, above the Peak Net Asset Value per </w:t>
      </w:r>
      <w:r w:rsidR="00F10D8B" w:rsidRPr="00BF1B19">
        <w:t>Class</w:t>
      </w:r>
      <w:r w:rsidR="003E7CA6" w:rsidRPr="00BF1B19">
        <w:t xml:space="preserve"> of </w:t>
      </w:r>
      <w:proofErr w:type="spellStart"/>
      <w:r w:rsidR="003E7CA6" w:rsidRPr="00BF1B19">
        <w:t>US$108</w:t>
      </w:r>
      <w:r w:rsidR="00F10D8B" w:rsidRPr="00BF1B19">
        <w:t>,000</w:t>
      </w:r>
      <w:proofErr w:type="spellEnd"/>
      <w:r w:rsidR="003E7CA6" w:rsidRPr="00BF1B19">
        <w:t>.</w:t>
      </w:r>
      <w:r w:rsidR="0035791C" w:rsidRPr="00BF1B19">
        <w:t xml:space="preserve"> </w:t>
      </w:r>
      <w:r w:rsidR="003E7CA6" w:rsidRPr="00BF1B19">
        <w:t xml:space="preserve">Performance Fee is </w:t>
      </w:r>
      <w:r w:rsidR="0035791C" w:rsidRPr="00BF1B19">
        <w:t xml:space="preserve">therefore </w:t>
      </w:r>
      <w:r w:rsidR="003E7CA6" w:rsidRPr="00BF1B19">
        <w:t xml:space="preserve">charged on the appreciation of Net Asset Value per </w:t>
      </w:r>
      <w:r w:rsidR="00F10D8B" w:rsidRPr="00BF1B19">
        <w:t>Class</w:t>
      </w:r>
      <w:r w:rsidR="003E7CA6" w:rsidRPr="00BF1B19">
        <w:t xml:space="preserve"> above the Peak Net Asset Value per </w:t>
      </w:r>
      <w:r w:rsidR="00F10D8B" w:rsidRPr="00BF1B19">
        <w:t>Class</w:t>
      </w:r>
      <w:r w:rsidR="003E7CA6" w:rsidRPr="00BF1B19">
        <w:t xml:space="preserve"> (i.e. </w:t>
      </w:r>
      <w:proofErr w:type="spellStart"/>
      <w:r w:rsidR="003E7CA6" w:rsidRPr="00BF1B19">
        <w:t>US$129,276.00</w:t>
      </w:r>
      <w:proofErr w:type="spellEnd"/>
      <w:r w:rsidR="003E7CA6" w:rsidRPr="00BF1B19">
        <w:t xml:space="preserve"> –</w:t>
      </w:r>
      <w:r w:rsidR="00E54CB3" w:rsidRPr="00BF1B19">
        <w:t xml:space="preserve"> </w:t>
      </w:r>
      <w:proofErr w:type="spellStart"/>
      <w:r w:rsidR="0035791C" w:rsidRPr="00BF1B19">
        <w:t>US$108</w:t>
      </w:r>
      <w:r w:rsidR="00F10D8B" w:rsidRPr="00BF1B19">
        <w:t>,000</w:t>
      </w:r>
      <w:proofErr w:type="spellEnd"/>
      <w:r w:rsidR="003E7CA6" w:rsidRPr="00BF1B19">
        <w:t xml:space="preserve">). The Performance Fee is 20% of </w:t>
      </w:r>
      <w:proofErr w:type="spellStart"/>
      <w:r w:rsidR="003E7CA6" w:rsidRPr="00BF1B19">
        <w:t>US$21,276.00</w:t>
      </w:r>
      <w:proofErr w:type="spellEnd"/>
      <w:r w:rsidR="003E7CA6" w:rsidRPr="00BF1B19">
        <w:t xml:space="preserve">, which equals to </w:t>
      </w:r>
      <w:proofErr w:type="spellStart"/>
      <w:r w:rsidR="003E7CA6" w:rsidRPr="00BF1B19">
        <w:t>US$4,255.20</w:t>
      </w:r>
      <w:proofErr w:type="spellEnd"/>
      <w:r w:rsidR="003E7CA6" w:rsidRPr="00BF1B19">
        <w:t xml:space="preserve">. The Peak Net Asset Value per </w:t>
      </w:r>
      <w:r w:rsidR="00F10D8B" w:rsidRPr="00BF1B19">
        <w:t>Class</w:t>
      </w:r>
      <w:r w:rsidR="003E7CA6" w:rsidRPr="00BF1B19">
        <w:t xml:space="preserve"> </w:t>
      </w:r>
      <w:r w:rsidR="0035791C" w:rsidRPr="00BF1B19">
        <w:t xml:space="preserve">at the end of </w:t>
      </w:r>
      <w:r w:rsidR="003E7CA6" w:rsidRPr="00BF1B19">
        <w:t xml:space="preserve">Year 4 is </w:t>
      </w:r>
      <w:r w:rsidR="0035791C" w:rsidRPr="00BF1B19">
        <w:t xml:space="preserve">increased to </w:t>
      </w:r>
      <w:proofErr w:type="spellStart"/>
      <w:r w:rsidR="0035791C" w:rsidRPr="00BF1B19">
        <w:t>US$125</w:t>
      </w:r>
      <w:r w:rsidR="00F10D8B" w:rsidRPr="00BF1B19">
        <w:t>,</w:t>
      </w:r>
      <w:r w:rsidR="0035791C" w:rsidRPr="00BF1B19">
        <w:t>02</w:t>
      </w:r>
      <w:r w:rsidR="00F10D8B" w:rsidRPr="00BF1B19">
        <w:t>0.80</w:t>
      </w:r>
      <w:proofErr w:type="spellEnd"/>
      <w:r w:rsidR="0035791C" w:rsidRPr="00BF1B19">
        <w:t>.</w:t>
      </w:r>
      <w:r w:rsidR="00AB70AC" w:rsidRPr="00BF1B19">
        <w:t xml:space="preserve"> </w:t>
      </w:r>
    </w:p>
    <w:p w14:paraId="729F011C" w14:textId="77777777" w:rsidR="003E7CA6" w:rsidRPr="00BF1B19" w:rsidRDefault="003E7CA6" w:rsidP="005F28D3">
      <w:pPr>
        <w:pStyle w:val="BodyText"/>
        <w:ind w:left="720"/>
        <w:jc w:val="both"/>
      </w:pPr>
    </w:p>
    <w:p w14:paraId="0D961A20" w14:textId="2E7137B3" w:rsidR="00BA1186" w:rsidRPr="00BF1B19" w:rsidRDefault="00BA1186" w:rsidP="005F28D3">
      <w:pPr>
        <w:pStyle w:val="BodyText"/>
        <w:ind w:left="720"/>
        <w:jc w:val="both"/>
      </w:pPr>
      <w:r w:rsidRPr="00BF1B19">
        <w:t xml:space="preserve">In Year 5, </w:t>
      </w:r>
      <w:r w:rsidR="0035791C" w:rsidRPr="00BF1B19">
        <w:t xml:space="preserve">the returns of Class </w:t>
      </w:r>
      <w:r w:rsidRPr="00A1648F">
        <w:t>I/</w:t>
      </w:r>
      <w:r w:rsidR="0035791C" w:rsidRPr="00BF1B19">
        <w:t>S/</w:t>
      </w:r>
      <w:r w:rsidR="00701836" w:rsidRPr="00BF1B19">
        <w:t>R/</w:t>
      </w:r>
      <w:r w:rsidR="0035791C" w:rsidRPr="00BF1B19">
        <w:t xml:space="preserve">J </w:t>
      </w:r>
      <w:proofErr w:type="gramStart"/>
      <w:r w:rsidR="0035791C" w:rsidRPr="00BF1B19">
        <w:t>is</w:t>
      </w:r>
      <w:proofErr w:type="gramEnd"/>
      <w:r w:rsidR="0035791C" w:rsidRPr="00BF1B19">
        <w:t xml:space="preserve"> 10%, meaning the value of holding at the end of Year </w:t>
      </w:r>
      <w:r w:rsidR="00701836" w:rsidRPr="00BF1B19">
        <w:t>5</w:t>
      </w:r>
      <w:r w:rsidR="0035791C" w:rsidRPr="00BF1B19">
        <w:t xml:space="preserve"> is worth </w:t>
      </w:r>
      <w:proofErr w:type="spellStart"/>
      <w:r w:rsidR="0035791C" w:rsidRPr="00BF1B19">
        <w:t>US$137,</w:t>
      </w:r>
      <w:r w:rsidR="005347A7" w:rsidRPr="00BF1B19">
        <w:t>5</w:t>
      </w:r>
      <w:r w:rsidR="0035791C" w:rsidRPr="00BF1B19">
        <w:t>22.88</w:t>
      </w:r>
      <w:proofErr w:type="spellEnd"/>
      <w:r w:rsidR="0035791C" w:rsidRPr="00BF1B19">
        <w:t xml:space="preserve">, above the Peak Net Asset Value per </w:t>
      </w:r>
      <w:r w:rsidR="00701836" w:rsidRPr="00BF1B19">
        <w:t>Class</w:t>
      </w:r>
      <w:r w:rsidR="0035791C" w:rsidRPr="00BF1B19">
        <w:t xml:space="preserve"> of </w:t>
      </w:r>
      <w:proofErr w:type="spellStart"/>
      <w:r w:rsidR="0035791C" w:rsidRPr="00BF1B19">
        <w:t>US$125</w:t>
      </w:r>
      <w:r w:rsidR="00701836" w:rsidRPr="00BF1B19">
        <w:t>,020.80</w:t>
      </w:r>
      <w:proofErr w:type="spellEnd"/>
      <w:r w:rsidR="0035791C" w:rsidRPr="00BF1B19">
        <w:t xml:space="preserve">. Performance Fee is therefore charged on the appreciation of Net Asset Value per </w:t>
      </w:r>
      <w:r w:rsidR="00701836" w:rsidRPr="00BF1B19">
        <w:t>Class</w:t>
      </w:r>
      <w:r w:rsidR="0035791C" w:rsidRPr="00BF1B19">
        <w:t xml:space="preserve"> above the Peak Net Asset Value per </w:t>
      </w:r>
      <w:r w:rsidR="00701836" w:rsidRPr="00BF1B19">
        <w:t>Class</w:t>
      </w:r>
      <w:r w:rsidR="0035791C" w:rsidRPr="00BF1B19">
        <w:t xml:space="preserve"> (i.e. </w:t>
      </w:r>
      <w:proofErr w:type="spellStart"/>
      <w:r w:rsidR="00960A11" w:rsidRPr="00BF1B19">
        <w:t>US</w:t>
      </w:r>
      <w:r w:rsidR="00701836" w:rsidRPr="00BF1B19">
        <w:t>$</w:t>
      </w:r>
      <w:r w:rsidR="0035791C" w:rsidRPr="00BF1B19">
        <w:t>137,</w:t>
      </w:r>
      <w:r w:rsidR="005347A7" w:rsidRPr="00BF1B19">
        <w:t>5</w:t>
      </w:r>
      <w:r w:rsidR="0035791C" w:rsidRPr="00BF1B19">
        <w:t>22.88</w:t>
      </w:r>
      <w:proofErr w:type="spellEnd"/>
      <w:r w:rsidR="0035791C" w:rsidRPr="00BF1B19">
        <w:t xml:space="preserve"> - </w:t>
      </w:r>
      <w:proofErr w:type="spellStart"/>
      <w:r w:rsidR="0035791C" w:rsidRPr="00BF1B19">
        <w:t>US$125</w:t>
      </w:r>
      <w:r w:rsidR="00701836" w:rsidRPr="00BF1B19">
        <w:t>,020.80</w:t>
      </w:r>
      <w:proofErr w:type="spellEnd"/>
      <w:r w:rsidR="0035791C" w:rsidRPr="00BF1B19">
        <w:t xml:space="preserve">). The Performance Fee is 20% of </w:t>
      </w:r>
      <w:proofErr w:type="spellStart"/>
      <w:r w:rsidR="0035791C" w:rsidRPr="00BF1B19">
        <w:t>US$12,502.08</w:t>
      </w:r>
      <w:proofErr w:type="spellEnd"/>
      <w:r w:rsidR="0035791C" w:rsidRPr="00BF1B19">
        <w:t xml:space="preserve">, which equals to </w:t>
      </w:r>
      <w:proofErr w:type="spellStart"/>
      <w:r w:rsidR="0035791C" w:rsidRPr="00BF1B19">
        <w:t>US$2,500.42</w:t>
      </w:r>
      <w:proofErr w:type="spellEnd"/>
      <w:r w:rsidR="005347A7" w:rsidRPr="00BF1B19">
        <w:t xml:space="preserve"> (rounded to the nearest cent)</w:t>
      </w:r>
      <w:r w:rsidR="0035791C" w:rsidRPr="00BF1B19">
        <w:t>.</w:t>
      </w:r>
      <w:r w:rsidRPr="00BF1B19">
        <w:t xml:space="preserve"> </w:t>
      </w:r>
      <w:r w:rsidR="0035791C" w:rsidRPr="00BF1B19">
        <w:t xml:space="preserve">The Peak Net Asset Value per </w:t>
      </w:r>
      <w:r w:rsidR="00701836" w:rsidRPr="00BF1B19">
        <w:t>Class</w:t>
      </w:r>
      <w:r w:rsidR="0035791C" w:rsidRPr="00BF1B19">
        <w:t xml:space="preserve"> at the end of Year 5 is increased to </w:t>
      </w:r>
      <w:proofErr w:type="spellStart"/>
      <w:r w:rsidR="0035791C" w:rsidRPr="00BF1B19">
        <w:t>US$135</w:t>
      </w:r>
      <w:r w:rsidR="00701836" w:rsidRPr="00BF1B19">
        <w:t>,022.46</w:t>
      </w:r>
      <w:proofErr w:type="spellEnd"/>
      <w:r w:rsidR="00701836" w:rsidRPr="00BF1B19">
        <w:t>.</w:t>
      </w:r>
    </w:p>
    <w:p w14:paraId="40B3E64D" w14:textId="77777777" w:rsidR="00BA1186" w:rsidRPr="00BF1B19" w:rsidRDefault="00BA1186" w:rsidP="005F28D3">
      <w:pPr>
        <w:pStyle w:val="BodyText"/>
        <w:ind w:left="720"/>
        <w:jc w:val="both"/>
      </w:pPr>
    </w:p>
    <w:p w14:paraId="487294E9" w14:textId="77777777" w:rsidR="0070563C" w:rsidRPr="00A1648F" w:rsidRDefault="0070563C" w:rsidP="00F7225D">
      <w:pPr>
        <w:pStyle w:val="BodyText"/>
        <w:ind w:left="720"/>
        <w:jc w:val="both"/>
        <w:rPr>
          <w:i/>
          <w:iCs/>
          <w:u w:val="single"/>
        </w:rPr>
      </w:pPr>
      <w:r w:rsidRPr="00A1648F">
        <w:rPr>
          <w:i/>
          <w:iCs/>
          <w:u w:val="single"/>
        </w:rPr>
        <w:t>Class F Shares</w:t>
      </w:r>
    </w:p>
    <w:p w14:paraId="6EC7820A" w14:textId="77777777" w:rsidR="0070563C" w:rsidRPr="005F28D3" w:rsidRDefault="0070563C" w:rsidP="005F28D3">
      <w:pPr>
        <w:pStyle w:val="BodyText"/>
        <w:ind w:left="720"/>
        <w:jc w:val="both"/>
      </w:pPr>
    </w:p>
    <w:p w14:paraId="76D499D6" w14:textId="77777777" w:rsidR="00991977" w:rsidRPr="00A1648F" w:rsidRDefault="00991977" w:rsidP="00F7225D">
      <w:pPr>
        <w:pStyle w:val="BodyText"/>
        <w:ind w:left="720"/>
        <w:jc w:val="both"/>
      </w:pPr>
      <w:r w:rsidRPr="00A1648F">
        <w:t>For Class F Shares, Performance Fee will be calculated in the same manner as described above save with a Performance Fee rate of 16%, instead of 20%.</w:t>
      </w:r>
    </w:p>
    <w:p w14:paraId="551EAFA3" w14:textId="77777777" w:rsidR="00BA1186" w:rsidRPr="00A1648F" w:rsidRDefault="00BA1186" w:rsidP="00F7225D">
      <w:pPr>
        <w:pStyle w:val="BodyText"/>
        <w:ind w:left="720" w:right="125"/>
        <w:jc w:val="both"/>
      </w:pPr>
    </w:p>
    <w:p w14:paraId="39B1BA7B" w14:textId="629F8E36" w:rsidR="006B38C4" w:rsidRPr="00BF1B19" w:rsidRDefault="006B38C4" w:rsidP="005F28D3">
      <w:pPr>
        <w:pStyle w:val="BodyText"/>
        <w:keepNext/>
        <w:ind w:left="720"/>
        <w:jc w:val="both"/>
        <w:rPr>
          <w:i/>
          <w:iCs/>
        </w:rPr>
      </w:pPr>
      <w:r w:rsidRPr="00BF1B19">
        <w:rPr>
          <w:i/>
          <w:iCs/>
        </w:rPr>
        <w:t>General</w:t>
      </w:r>
    </w:p>
    <w:p w14:paraId="48B1951E" w14:textId="77777777" w:rsidR="00E17641" w:rsidRPr="00BF1B19" w:rsidRDefault="00E17641" w:rsidP="005F28D3">
      <w:pPr>
        <w:pStyle w:val="BodyText"/>
        <w:keepNext/>
        <w:ind w:left="720"/>
        <w:rPr>
          <w:sz w:val="19"/>
        </w:rPr>
      </w:pPr>
    </w:p>
    <w:p w14:paraId="2AAE36A7" w14:textId="4615E777" w:rsidR="008F687A" w:rsidRPr="00BF1B19" w:rsidRDefault="00E17641" w:rsidP="005F28D3">
      <w:pPr>
        <w:pStyle w:val="BodyText"/>
        <w:ind w:left="720"/>
        <w:jc w:val="both"/>
      </w:pPr>
      <w:r w:rsidRPr="00BF1B19">
        <w:t>If Shares are redeemed during a Performance Period, the Performance Fee in respect of such Shares will be calculated as though the relevant Dealing Day was the end of a Performance Period</w:t>
      </w:r>
      <w:r w:rsidR="008F687A" w:rsidRPr="00BF1B19">
        <w:t xml:space="preserve"> and crystallises on such Dealing Day</w:t>
      </w:r>
      <w:r w:rsidRPr="00BF1B19">
        <w:t xml:space="preserve">. An amount equal to any Performance Fee in respect of such Shares will be </w:t>
      </w:r>
      <w:r w:rsidR="00A27A36" w:rsidRPr="00BF1B19">
        <w:t xml:space="preserve">credited </w:t>
      </w:r>
      <w:r w:rsidRPr="00BF1B19">
        <w:t>to the Investment Manager as soon as reasonably practicable after the relevant Dealing Day. In the event of a partial redemption, Shares will be treated as redeemed on a first in, first out basis for the purpose of calculating the Performance Fee.</w:t>
      </w:r>
      <w:r w:rsidR="008F687A" w:rsidRPr="00BF1B19">
        <w:t xml:space="preserve"> </w:t>
      </w:r>
    </w:p>
    <w:p w14:paraId="7F117DB1" w14:textId="77777777" w:rsidR="008F687A" w:rsidRPr="00BF1B19" w:rsidRDefault="008F687A" w:rsidP="005F28D3">
      <w:pPr>
        <w:pStyle w:val="BodyText"/>
        <w:ind w:left="720"/>
        <w:jc w:val="both"/>
      </w:pPr>
    </w:p>
    <w:p w14:paraId="5FB28859" w14:textId="78736C5F" w:rsidR="00E17641" w:rsidRPr="00BF1B19" w:rsidRDefault="008F687A" w:rsidP="005F28D3">
      <w:pPr>
        <w:pStyle w:val="BodyText"/>
        <w:ind w:left="720"/>
        <w:jc w:val="both"/>
      </w:pPr>
      <w:r w:rsidRPr="00BF1B19">
        <w:t>In relation to subscriptions made intra-year, the Performance Period will begin from the Valuation Point at which the subscription is made until 31 December of the relevant year.</w:t>
      </w:r>
    </w:p>
    <w:p w14:paraId="448483AE" w14:textId="2ABC943C" w:rsidR="00784BC8" w:rsidRPr="00BF1B19" w:rsidRDefault="00784BC8" w:rsidP="005F28D3">
      <w:pPr>
        <w:pStyle w:val="BodyText"/>
        <w:ind w:left="720"/>
        <w:jc w:val="both"/>
      </w:pPr>
    </w:p>
    <w:p w14:paraId="3A4CA77A" w14:textId="77777777" w:rsidR="00BA6FE8" w:rsidRDefault="0044788F" w:rsidP="00DA110D">
      <w:pPr>
        <w:pStyle w:val="BodyText"/>
        <w:ind w:left="720"/>
        <w:jc w:val="both"/>
      </w:pPr>
      <w:r>
        <w:t xml:space="preserve">Investors to note that Performance Fee is calculated on a per Class basis, rather than on a per Share basis, meaning that the Fund will not </w:t>
      </w:r>
      <w:proofErr w:type="gramStart"/>
      <w:r>
        <w:t>take into account</w:t>
      </w:r>
      <w:proofErr w:type="gramEnd"/>
      <w:r>
        <w:t xml:space="preserve"> the individual Issue Price at which Shares are issued to subscribers who subscribe intra-year when calculating Performance Fee payable for a particular Performance Period. </w:t>
      </w:r>
      <w:proofErr w:type="gramStart"/>
      <w:r>
        <w:t>Instead</w:t>
      </w:r>
      <w:proofErr w:type="gramEnd"/>
      <w:r>
        <w:t xml:space="preserve"> the intra-year capital subscription is included in the calculation of the Peak Net Asset Value per Class. This may result in an over- or under-payment of Performance Fee by those subscribers depending on whether the relevant Issue Price is above or below the applicable Peak Net Asset Value per Class of the relevant Class</w:t>
      </w:r>
      <w:r w:rsidR="00BA6FE8">
        <w:t xml:space="preserve">. </w:t>
      </w:r>
    </w:p>
    <w:p w14:paraId="4E3CCC6D" w14:textId="77777777" w:rsidR="00E17641" w:rsidRPr="005F28D3" w:rsidRDefault="00E17641" w:rsidP="005F28D3">
      <w:pPr>
        <w:pStyle w:val="BodyText"/>
      </w:pPr>
    </w:p>
    <w:p w14:paraId="4F90C7C5" w14:textId="77777777" w:rsidR="00BA6FE8" w:rsidRDefault="00E17641" w:rsidP="00DA110D">
      <w:pPr>
        <w:pStyle w:val="BodyText"/>
        <w:ind w:left="720"/>
        <w:jc w:val="both"/>
      </w:pPr>
      <w:r w:rsidRPr="00BF1B19">
        <w:t xml:space="preserve">For </w:t>
      </w:r>
      <w:r w:rsidR="00BA6FE8">
        <w:t xml:space="preserve">example, if the Issue Price at which Shares are issued to an intra-year subscriber is below the Peak Net Asset Value per Class, such subscriber will be underpaying Performance Fee in the first Performance Period as the Performance Fee calculation for that particular Performance Period would not have taken into account the appreciation between the Issue Price and the Peak Net Asset Value per Class. Conversely, if the Issue Price at which Shares are issued to an intra-year subscriber is above the Peak Net Asset Value per Class, such subscriber will be overpaying Performance Fee in the first Performance Period as the Performance Fee will be calculated based on the full appreciation from the Peak Net Asset Value per Class, rather than from the subscriber’s lower Issue Price. </w:t>
      </w:r>
    </w:p>
    <w:p w14:paraId="004CB8F2" w14:textId="77777777" w:rsidR="00BA6FE8" w:rsidRDefault="00BA6FE8" w:rsidP="00BA6FE8">
      <w:pPr>
        <w:pStyle w:val="BodyText"/>
      </w:pPr>
    </w:p>
    <w:p w14:paraId="1A5FD05E" w14:textId="77777777" w:rsidR="00EE4857" w:rsidRPr="00DA110D" w:rsidRDefault="00BA6FE8" w:rsidP="00BA6FE8">
      <w:pPr>
        <w:pStyle w:val="BodyText"/>
        <w:ind w:left="720"/>
        <w:jc w:val="both"/>
        <w:rPr>
          <w:b/>
          <w:bCs/>
        </w:rPr>
      </w:pPr>
      <w:r w:rsidRPr="00BA6FE8">
        <w:rPr>
          <w:b/>
          <w:bCs/>
        </w:rPr>
        <w:t>Investors should be aware of this risk when making subscriptions intra-year, as it may lead to a Performance Fee calculation that does not accurately reflect the performance of their individual investment.</w:t>
      </w:r>
    </w:p>
    <w:p w14:paraId="68C95F51" w14:textId="77777777" w:rsidR="00784BC8" w:rsidRPr="00A1648F" w:rsidRDefault="00784BC8" w:rsidP="00F7225D">
      <w:pPr>
        <w:pStyle w:val="BodyText"/>
        <w:ind w:left="720"/>
        <w:jc w:val="both"/>
      </w:pPr>
    </w:p>
    <w:p w14:paraId="1F8F9C76" w14:textId="105AA557" w:rsidR="00784BC8" w:rsidRPr="00BF1B19" w:rsidRDefault="00784BC8" w:rsidP="005F28D3">
      <w:pPr>
        <w:pStyle w:val="BodyText"/>
        <w:ind w:left="720"/>
        <w:jc w:val="both"/>
      </w:pPr>
      <w:r w:rsidRPr="00BF1B19">
        <w:t>The calculation of the Performance Fee is verified by the Depositary and is not open to the possibility of manipulation.</w:t>
      </w:r>
    </w:p>
    <w:p w14:paraId="282C1BD3" w14:textId="77777777" w:rsidR="00FC7F92" w:rsidRPr="00BF1B19" w:rsidRDefault="00FC7F92" w:rsidP="005F28D3">
      <w:pPr>
        <w:pStyle w:val="BodyText"/>
        <w:rPr>
          <w:sz w:val="19"/>
        </w:rPr>
      </w:pPr>
    </w:p>
    <w:p w14:paraId="3F3445EB" w14:textId="3E948D8D" w:rsidR="00FC7F92" w:rsidRPr="00BF1B19" w:rsidRDefault="00FC7F92" w:rsidP="005F28D3">
      <w:pPr>
        <w:pStyle w:val="BodyText"/>
        <w:ind w:left="720"/>
        <w:jc w:val="both"/>
      </w:pPr>
      <w:r w:rsidRPr="00BF1B19">
        <w:t xml:space="preserve">Shareholders should note that the </w:t>
      </w:r>
      <w:r w:rsidR="00701836" w:rsidRPr="00BF1B19">
        <w:t xml:space="preserve">Investment </w:t>
      </w:r>
      <w:r w:rsidRPr="00BF1B19">
        <w:t xml:space="preserve">Manager may be paid a Performance Fee which will be based on </w:t>
      </w:r>
      <w:r w:rsidR="008F687A" w:rsidRPr="00BF1B19">
        <w:t xml:space="preserve">net </w:t>
      </w:r>
      <w:r w:rsidRPr="00BF1B19">
        <w:t xml:space="preserve">realised and </w:t>
      </w:r>
      <w:r w:rsidR="008F687A" w:rsidRPr="00BF1B19">
        <w:t xml:space="preserve">net </w:t>
      </w:r>
      <w:r w:rsidRPr="00BF1B19">
        <w:t>unrealised gains</w:t>
      </w:r>
      <w:r w:rsidR="008F687A" w:rsidRPr="00BF1B19">
        <w:t xml:space="preserve"> and losses as at the end of each Performance Period</w:t>
      </w:r>
      <w:r w:rsidRPr="00BF1B19">
        <w:t xml:space="preserve">. Therefore, it is an inherent risk in the Fund that Performance Fee may be paid on unrealised gains which may </w:t>
      </w:r>
      <w:r w:rsidR="008F687A" w:rsidRPr="00BF1B19">
        <w:t xml:space="preserve">subsequently </w:t>
      </w:r>
      <w:r w:rsidRPr="00BF1B19">
        <w:t>never be realised by the Fund.</w:t>
      </w:r>
    </w:p>
    <w:p w14:paraId="536B2129" w14:textId="77777777" w:rsidR="00FC7F92" w:rsidRPr="00BF1B19" w:rsidRDefault="00FC7F92" w:rsidP="005F28D3">
      <w:pPr>
        <w:pStyle w:val="BodyText"/>
        <w:ind w:left="720"/>
        <w:rPr>
          <w:sz w:val="19"/>
        </w:rPr>
      </w:pPr>
    </w:p>
    <w:p w14:paraId="4FE40519" w14:textId="77777777" w:rsidR="00FC7F92" w:rsidRPr="00BF1B19" w:rsidRDefault="00FC7F92" w:rsidP="00745689">
      <w:pPr>
        <w:keepNext/>
        <w:spacing w:after="240"/>
        <w:ind w:left="720"/>
        <w:rPr>
          <w:b/>
        </w:rPr>
      </w:pPr>
      <w:r w:rsidRPr="00BF1B19">
        <w:rPr>
          <w:b/>
        </w:rPr>
        <w:t>Depositary Fee</w:t>
      </w:r>
    </w:p>
    <w:p w14:paraId="3654B3D1" w14:textId="5AAB8F1E" w:rsidR="00FC7F92" w:rsidRPr="00BF1B19" w:rsidRDefault="00FC7F92" w:rsidP="005F28D3">
      <w:pPr>
        <w:pStyle w:val="BodyText"/>
        <w:ind w:left="720"/>
        <w:jc w:val="both"/>
        <w:rPr>
          <w:sz w:val="22"/>
        </w:rPr>
      </w:pPr>
      <w:r w:rsidRPr="00BF1B19">
        <w:t xml:space="preserve">The Fund shall discharge the Depositary’s fees and expenses (including any reasonable out of pocket expenses incurred on behalf of the Fund). The Depositary’s fee shall not exceed 0.04% of the Net Asset Value of the Fund which shall be calculated and accrued as of each Valuation Point and shall be payable monthly in arrear subject to a minimum annual fee of EUR </w:t>
      </w:r>
      <w:r w:rsidR="00990ED3" w:rsidRPr="00BF1B19">
        <w:t>30</w:t>
      </w:r>
      <w:r w:rsidRPr="00BF1B19">
        <w:t>,000.</w:t>
      </w:r>
    </w:p>
    <w:p w14:paraId="6A832FC4" w14:textId="77777777" w:rsidR="00FC7F92" w:rsidRPr="00BF1B19" w:rsidRDefault="00FC7F92" w:rsidP="005F28D3">
      <w:pPr>
        <w:pStyle w:val="BodyText"/>
        <w:ind w:left="720"/>
        <w:jc w:val="both"/>
      </w:pPr>
      <w:r w:rsidRPr="00BF1B19">
        <w:t>The Fund shall pay certain additional fees to the Depositary for the settlement of transactions, for cash transfers and forex, for manual transactions and trade repairs, at normal commercial rates.</w:t>
      </w:r>
    </w:p>
    <w:p w14:paraId="45CC600C" w14:textId="77777777" w:rsidR="00FC7F92" w:rsidRPr="00BF1B19" w:rsidRDefault="00FC7F92" w:rsidP="005F28D3">
      <w:pPr>
        <w:pStyle w:val="BodyText"/>
        <w:ind w:left="720"/>
        <w:rPr>
          <w:sz w:val="19"/>
        </w:rPr>
      </w:pPr>
    </w:p>
    <w:p w14:paraId="4C8D9123" w14:textId="77777777" w:rsidR="00FC7F92" w:rsidRPr="00BF1B19" w:rsidRDefault="00FC7F92" w:rsidP="00745689">
      <w:pPr>
        <w:keepNext/>
        <w:spacing w:after="240"/>
        <w:ind w:left="720"/>
        <w:rPr>
          <w:b/>
        </w:rPr>
      </w:pPr>
      <w:r w:rsidRPr="00BF1B19">
        <w:rPr>
          <w:b/>
        </w:rPr>
        <w:lastRenderedPageBreak/>
        <w:t>Administrator’s Fee</w:t>
      </w:r>
    </w:p>
    <w:p w14:paraId="387BC229" w14:textId="25BA5A21" w:rsidR="00C06441" w:rsidRPr="00BF1B19" w:rsidRDefault="008F4D2E" w:rsidP="00745689">
      <w:pPr>
        <w:pStyle w:val="BodyText"/>
        <w:ind w:left="720" w:right="140"/>
        <w:jc w:val="both"/>
      </w:pPr>
      <w:r w:rsidRPr="009C679F">
        <w:t>The Fund shall</w:t>
      </w:r>
      <w:r>
        <w:t>, out of the assets of the Fund,</w:t>
      </w:r>
      <w:r w:rsidRPr="009C679F">
        <w:t xml:space="preserve"> discharge the Administrator’s fees and expenses (including any reasonable </w:t>
      </w:r>
      <w:r>
        <w:t xml:space="preserve">and vouched </w:t>
      </w:r>
      <w:r w:rsidRPr="009C679F">
        <w:t xml:space="preserve">out of pocket expenses </w:t>
      </w:r>
      <w:r w:rsidR="00C06441" w:rsidRPr="00BF1B19">
        <w:t>incurred on behalf of the Fund). The Administrator’s fee shall not exceed 0.</w:t>
      </w:r>
      <w:r w:rsidR="00FF05C9">
        <w:t>04</w:t>
      </w:r>
      <w:r w:rsidR="00C06441" w:rsidRPr="00BF1B19">
        <w:t xml:space="preserve">% of the Net Asset Value of the Fund which shall be calculated and accrued as of each Valuation Point and shall be payable monthly in arrear subject to a minimum annual fee of </w:t>
      </w:r>
      <w:r w:rsidR="00FF05C9">
        <w:t>EUR 30</w:t>
      </w:r>
      <w:r w:rsidR="00990ED3" w:rsidRPr="00BF1B19">
        <w:t>,000</w:t>
      </w:r>
      <w:r w:rsidR="00C06441" w:rsidRPr="00BF1B19">
        <w:t>.</w:t>
      </w:r>
      <w:r w:rsidR="00F90804">
        <w:t xml:space="preserve"> </w:t>
      </w:r>
    </w:p>
    <w:p w14:paraId="7ED46134" w14:textId="77777777" w:rsidR="00C06441" w:rsidRPr="00BF1B19" w:rsidRDefault="00C06441" w:rsidP="005F28D3">
      <w:pPr>
        <w:pStyle w:val="BodyText"/>
        <w:ind w:left="720" w:right="140"/>
        <w:jc w:val="both"/>
      </w:pPr>
    </w:p>
    <w:p w14:paraId="6B020D14" w14:textId="79B61481" w:rsidR="00C06441" w:rsidRPr="00BF1B19" w:rsidRDefault="00F90804" w:rsidP="005F28D3">
      <w:pPr>
        <w:pStyle w:val="BodyText"/>
        <w:ind w:left="720"/>
        <w:jc w:val="both"/>
      </w:pPr>
      <w:bookmarkStart w:id="84" w:name="_Hlk174974729"/>
      <w:bookmarkStart w:id="85" w:name="_Hlk175585066"/>
      <w:r>
        <w:t>If required, the</w:t>
      </w:r>
      <w:r w:rsidRPr="00A93F0C">
        <w:t xml:space="preserve"> Fund shall pay certain additional fees to the Administrator for additional </w:t>
      </w:r>
      <w:r>
        <w:t>services such as account opening fee, account reject fee, account maintenance fee, transaction fee, fee for additional Classes of Shares, fee for dividend payment</w:t>
      </w:r>
      <w:bookmarkEnd w:id="84"/>
      <w:r>
        <w:t xml:space="preserve"> and fee for termination, merger or transfer of assets of the Fund to a new administrator and/or custodian</w:t>
      </w:r>
      <w:r w:rsidR="00517E2A">
        <w:t xml:space="preserve"> and FATCA &amp; CRS reporting fee</w:t>
      </w:r>
      <w:bookmarkEnd w:id="85"/>
      <w:r>
        <w:t xml:space="preserve">. </w:t>
      </w:r>
    </w:p>
    <w:p w14:paraId="0D341853" w14:textId="77777777" w:rsidR="00FC7F92" w:rsidRPr="00BF1B19" w:rsidRDefault="00FC7F92" w:rsidP="00363AE9">
      <w:pPr>
        <w:pStyle w:val="BodyText"/>
        <w:spacing w:before="10"/>
        <w:rPr>
          <w:sz w:val="19"/>
        </w:rPr>
      </w:pPr>
    </w:p>
    <w:p w14:paraId="2295E3E0" w14:textId="77777777" w:rsidR="00FC7F92" w:rsidRPr="00BF1B19" w:rsidRDefault="00FC7F92" w:rsidP="00745689">
      <w:pPr>
        <w:keepNext/>
        <w:spacing w:after="240"/>
        <w:ind w:left="720"/>
        <w:rPr>
          <w:b/>
        </w:rPr>
      </w:pPr>
      <w:r w:rsidRPr="00BF1B19">
        <w:rPr>
          <w:b/>
        </w:rPr>
        <w:t>Costs of Establishment of the ICAV and the Fund</w:t>
      </w:r>
    </w:p>
    <w:p w14:paraId="06BD9769" w14:textId="77777777" w:rsidR="00FC7F92" w:rsidRPr="00BF1B19" w:rsidRDefault="00FC7F92" w:rsidP="005F28D3">
      <w:pPr>
        <w:pStyle w:val="BodyText"/>
        <w:ind w:left="720"/>
        <w:jc w:val="both"/>
      </w:pPr>
      <w:r w:rsidRPr="00BF1B19">
        <w:t>The preliminary expenses incurred in connection with the establishment of the ICAV, including obtaining authorisation from any authority, where applicable, filing fees, the preparation and printing of this Prospectus, marketing costs and the fees of all professionals relating to it will be borne by the Investment Manager and are estimated not to exceed the sum stated in the Prospectus.</w:t>
      </w:r>
    </w:p>
    <w:p w14:paraId="32664261" w14:textId="77777777" w:rsidR="00FC7F92" w:rsidRPr="00BF1B19" w:rsidRDefault="00FC7F92" w:rsidP="00745689">
      <w:pPr>
        <w:pStyle w:val="BodyText"/>
        <w:ind w:left="720"/>
      </w:pPr>
    </w:p>
    <w:p w14:paraId="180D55AA" w14:textId="360FDA9C" w:rsidR="00FC7F92" w:rsidRPr="00BF1B19" w:rsidRDefault="00FC7F92" w:rsidP="005F28D3">
      <w:pPr>
        <w:pStyle w:val="BodyText"/>
        <w:ind w:left="720"/>
        <w:jc w:val="both"/>
      </w:pPr>
      <w:r w:rsidRPr="00BF1B19">
        <w:t xml:space="preserve">The cost of establishing the Fund and the initial issue of the Shares of the Fund will be paid out of the assets of the Fund and will be amortised over a </w:t>
      </w:r>
      <w:proofErr w:type="gramStart"/>
      <w:r w:rsidRPr="00BF1B19">
        <w:t>five year</w:t>
      </w:r>
      <w:proofErr w:type="gramEnd"/>
      <w:r w:rsidRPr="00BF1B19">
        <w:t xml:space="preserve"> period from Fund launch. The preliminary expenses incurred in connection with the establishment of the Fund are estimated not to exceed EUR </w:t>
      </w:r>
      <w:r w:rsidR="00C06441" w:rsidRPr="00BF1B19">
        <w:t>40</w:t>
      </w:r>
      <w:r w:rsidRPr="00BF1B19">
        <w:t>,000.</w:t>
      </w:r>
    </w:p>
    <w:p w14:paraId="529C06BD" w14:textId="77777777" w:rsidR="00FC7F92" w:rsidRPr="00BF1B19" w:rsidRDefault="00FC7F92" w:rsidP="005F28D3">
      <w:pPr>
        <w:pStyle w:val="BodyText"/>
        <w:ind w:left="720"/>
      </w:pPr>
    </w:p>
    <w:p w14:paraId="46BB7267" w14:textId="77777777" w:rsidR="00FC7F92" w:rsidRPr="00BF1B19" w:rsidRDefault="00FC7F92" w:rsidP="00745689">
      <w:pPr>
        <w:keepNext/>
        <w:spacing w:after="240"/>
        <w:ind w:left="720"/>
        <w:rPr>
          <w:b/>
        </w:rPr>
      </w:pPr>
      <w:r w:rsidRPr="00BF1B19">
        <w:rPr>
          <w:b/>
        </w:rPr>
        <w:t>Fees in Underlying Collective Investment Scheme (“CIS”)</w:t>
      </w:r>
    </w:p>
    <w:p w14:paraId="722F68FE" w14:textId="4FB0745E" w:rsidR="00FC7F92" w:rsidRPr="00BF1B19" w:rsidRDefault="00FC7F92" w:rsidP="005F28D3">
      <w:pPr>
        <w:pStyle w:val="BodyText"/>
        <w:ind w:left="720"/>
        <w:jc w:val="both"/>
      </w:pPr>
      <w:r w:rsidRPr="00BF1B19">
        <w:t xml:space="preserve">The Fund may, subject to the conditions set out in section </w:t>
      </w:r>
      <w:r w:rsidR="00D60CE2" w:rsidRPr="00BF1B19">
        <w:t xml:space="preserve">5 entitled </w:t>
      </w:r>
      <w:r w:rsidRPr="00BF1B19">
        <w:t xml:space="preserve">“INVESTMENT RESTRICTIONS” of this Supplement, invest in other CIS. As an investor in such other CIS, in addition to the fees, costs and expenses payable by a Shareholder in the Funds, each Shareholder may also indirectly bear a portion of the fees, costs and expenses of the underlying CIS, including management, investment management </w:t>
      </w:r>
      <w:proofErr w:type="gramStart"/>
      <w:r w:rsidRPr="00BF1B19">
        <w:t>and,</w:t>
      </w:r>
      <w:proofErr w:type="gramEnd"/>
      <w:r w:rsidRPr="00BF1B19">
        <w:t xml:space="preserve"> administration and other expenses. The maximum level of management fees that may be charged in relation to that portion of the Fund assets invested in other CIS should not exceed 0.1% of the CIS’s Net Asset Value if it is up to 100 million Euros and should not exceed 0.05% of the CIS’s Net Asset Value if it is greater than 100 million Euros.</w:t>
      </w:r>
    </w:p>
    <w:p w14:paraId="1FDBC692" w14:textId="77777777" w:rsidR="00FC7F92" w:rsidRPr="00BF1B19" w:rsidRDefault="00FC7F92" w:rsidP="005F28D3">
      <w:pPr>
        <w:pStyle w:val="BodyText"/>
        <w:ind w:left="720" w:right="125"/>
        <w:jc w:val="both"/>
      </w:pPr>
    </w:p>
    <w:p w14:paraId="4D5D90E7" w14:textId="5A376141" w:rsidR="00FC7F92" w:rsidRPr="00BF1B19" w:rsidRDefault="00B421FF" w:rsidP="00745689">
      <w:pPr>
        <w:pStyle w:val="Level1"/>
        <w:keepNext/>
        <w:tabs>
          <w:tab w:val="clear" w:pos="851"/>
        </w:tabs>
        <w:ind w:left="720" w:hanging="720"/>
      </w:pPr>
      <w:r w:rsidRPr="00BF1B19">
        <w:rPr>
          <w:rStyle w:val="Level1asHeadingtext"/>
        </w:rPr>
        <w:t>LONG AND SHORT POSITIONS</w:t>
      </w:r>
      <w:bookmarkStart w:id="86" w:name="_NN16"/>
      <w:bookmarkEnd w:id="86"/>
      <w:r w:rsidR="00DA2E2B" w:rsidRPr="00BF1B19">
        <w:fldChar w:fldCharType="begin"/>
      </w:r>
      <w:r w:rsidR="00DA2E2B" w:rsidRPr="00BF1B19">
        <w:instrText xml:space="preserve"> TC "</w:instrText>
      </w:r>
      <w:r w:rsidR="00DA2E2B" w:rsidRPr="00BF1B19">
        <w:fldChar w:fldCharType="begin"/>
      </w:r>
      <w:r w:rsidR="00DA2E2B" w:rsidRPr="00BF1B19">
        <w:instrText xml:space="preserve"> REF _NN16\r \h </w:instrText>
      </w:r>
      <w:r w:rsidR="00D8760C" w:rsidRPr="00BF1B19">
        <w:instrText xml:space="preserve"> \* MERGEFORMAT </w:instrText>
      </w:r>
      <w:r w:rsidR="00DA2E2B" w:rsidRPr="00BF1B19">
        <w:fldChar w:fldCharType="separate"/>
      </w:r>
      <w:bookmarkStart w:id="87" w:name="_Toc98334759"/>
      <w:bookmarkStart w:id="88" w:name="_Toc172121820"/>
      <w:bookmarkStart w:id="89" w:name="_Toc191388739"/>
      <w:r w:rsidR="00860B2D">
        <w:instrText>15</w:instrText>
      </w:r>
      <w:r w:rsidR="00DA2E2B" w:rsidRPr="00BF1B19">
        <w:fldChar w:fldCharType="end"/>
      </w:r>
      <w:r w:rsidR="00DA2E2B" w:rsidRPr="00BF1B19">
        <w:tab/>
        <w:instrText>LONG AND SHORT POSITIONS</w:instrText>
      </w:r>
      <w:bookmarkEnd w:id="87"/>
      <w:bookmarkEnd w:id="88"/>
      <w:bookmarkEnd w:id="89"/>
      <w:r w:rsidR="00DA2E2B" w:rsidRPr="00BF1B19">
        <w:instrText xml:space="preserve">" \l 1 </w:instrText>
      </w:r>
      <w:r w:rsidR="00DA2E2B" w:rsidRPr="00BF1B19">
        <w:fldChar w:fldCharType="end"/>
      </w:r>
    </w:p>
    <w:p w14:paraId="46E6E586" w14:textId="77777777" w:rsidR="00FC7F92" w:rsidRPr="00BF1B19" w:rsidRDefault="00FC7F92" w:rsidP="005F28D3">
      <w:pPr>
        <w:pStyle w:val="BodyText"/>
        <w:ind w:left="720"/>
      </w:pPr>
      <w:r w:rsidRPr="00BF1B19">
        <w:t>It is intended that the Fund will take both long and short positions in equity index futures.</w:t>
      </w:r>
    </w:p>
    <w:p w14:paraId="23000F1D" w14:textId="77777777" w:rsidR="00FC7F92" w:rsidRPr="00BF1B19" w:rsidRDefault="00FC7F92" w:rsidP="005F28D3">
      <w:pPr>
        <w:pStyle w:val="BodyText"/>
        <w:ind w:left="720"/>
      </w:pPr>
    </w:p>
    <w:p w14:paraId="54507F4F" w14:textId="5B5A75F3" w:rsidR="00FC7F92" w:rsidRPr="00BF1B19" w:rsidRDefault="00FC7F92" w:rsidP="005F28D3">
      <w:pPr>
        <w:pStyle w:val="BodyText"/>
        <w:ind w:left="720"/>
        <w:jc w:val="both"/>
      </w:pPr>
      <w:bookmarkStart w:id="90" w:name="_Hlk72244185"/>
      <w:r w:rsidRPr="00BF1B19">
        <w:t xml:space="preserve">The Fund’s expected gross level of leverage is not expected to exceed 400% of the Fund’s NAV. </w:t>
      </w:r>
      <w:r w:rsidR="001322D4" w:rsidRPr="00BF1B19">
        <w:t>The Fund may be fully invested either long or short at any time</w:t>
      </w:r>
      <w:r w:rsidR="00445A7A" w:rsidRPr="00BF1B19">
        <w:t xml:space="preserve">. The percentages, relative to the </w:t>
      </w:r>
      <w:r w:rsidR="00DA2A7C" w:rsidRPr="00BF1B19">
        <w:t>Fund’s NAV</w:t>
      </w:r>
      <w:r w:rsidR="00445A7A" w:rsidRPr="00BF1B19">
        <w:t>, of (</w:t>
      </w:r>
      <w:proofErr w:type="spellStart"/>
      <w:r w:rsidR="00445A7A" w:rsidRPr="00BF1B19">
        <w:t>i</w:t>
      </w:r>
      <w:proofErr w:type="spellEnd"/>
      <w:r w:rsidR="00445A7A" w:rsidRPr="00BF1B19">
        <w:t>) the anticipated maximum value of the long positions and (ii) the anticipated maximum of the absolute values of the short positions</w:t>
      </w:r>
      <w:r w:rsidR="000477B9" w:rsidRPr="00BF1B19">
        <w:t>,</w:t>
      </w:r>
      <w:r w:rsidR="00445A7A" w:rsidRPr="00BF1B19">
        <w:t xml:space="preserve"> are 300% and 300% respectively.</w:t>
      </w:r>
    </w:p>
    <w:bookmarkEnd w:id="90"/>
    <w:p w14:paraId="2F30E73F" w14:textId="77777777" w:rsidR="00FC7F92" w:rsidRPr="00BF1B19" w:rsidRDefault="00FC7F92" w:rsidP="005F28D3">
      <w:pPr>
        <w:pStyle w:val="BodyText"/>
        <w:ind w:left="720"/>
        <w:rPr>
          <w:sz w:val="17"/>
        </w:rPr>
      </w:pPr>
    </w:p>
    <w:p w14:paraId="022424CC" w14:textId="490B269C" w:rsidR="00FC7F92" w:rsidRPr="00BF1B19" w:rsidRDefault="00FC7F92" w:rsidP="00745689">
      <w:pPr>
        <w:pStyle w:val="Level1"/>
        <w:keepNext/>
        <w:tabs>
          <w:tab w:val="clear" w:pos="851"/>
        </w:tabs>
        <w:ind w:left="720" w:hanging="720"/>
      </w:pPr>
      <w:r w:rsidRPr="00BF1B19">
        <w:rPr>
          <w:rStyle w:val="Level1asHeadingtext"/>
        </w:rPr>
        <w:t>MISCELLANEOUS</w:t>
      </w:r>
      <w:bookmarkStart w:id="91" w:name="_NN17"/>
      <w:bookmarkEnd w:id="91"/>
      <w:r w:rsidR="00DA2E2B" w:rsidRPr="00BF1B19">
        <w:fldChar w:fldCharType="begin"/>
      </w:r>
      <w:r w:rsidR="00DA2E2B" w:rsidRPr="00BF1B19">
        <w:instrText xml:space="preserve"> TC "</w:instrText>
      </w:r>
      <w:r w:rsidR="00DA2E2B" w:rsidRPr="00BF1B19">
        <w:fldChar w:fldCharType="begin"/>
      </w:r>
      <w:r w:rsidR="00DA2E2B" w:rsidRPr="00BF1B19">
        <w:instrText xml:space="preserve"> REF _NN17\r \h </w:instrText>
      </w:r>
      <w:r w:rsidR="00D8760C" w:rsidRPr="00BF1B19">
        <w:instrText xml:space="preserve"> \* MERGEFORMAT </w:instrText>
      </w:r>
      <w:r w:rsidR="00DA2E2B" w:rsidRPr="00BF1B19">
        <w:fldChar w:fldCharType="separate"/>
      </w:r>
      <w:bookmarkStart w:id="92" w:name="_Toc98334760"/>
      <w:bookmarkStart w:id="93" w:name="_Toc172121821"/>
      <w:bookmarkStart w:id="94" w:name="_Toc191388740"/>
      <w:r w:rsidR="00860B2D">
        <w:instrText>16</w:instrText>
      </w:r>
      <w:r w:rsidR="00DA2E2B" w:rsidRPr="00BF1B19">
        <w:fldChar w:fldCharType="end"/>
      </w:r>
      <w:r w:rsidR="00DA2E2B" w:rsidRPr="00BF1B19">
        <w:tab/>
        <w:instrText>MISCELLANEOUS</w:instrText>
      </w:r>
      <w:bookmarkEnd w:id="92"/>
      <w:bookmarkEnd w:id="93"/>
      <w:bookmarkEnd w:id="94"/>
      <w:r w:rsidR="00DA2E2B" w:rsidRPr="00BF1B19">
        <w:instrText xml:space="preserve">" \l 1 </w:instrText>
      </w:r>
      <w:r w:rsidR="00DA2E2B" w:rsidRPr="00BF1B19">
        <w:fldChar w:fldCharType="end"/>
      </w:r>
    </w:p>
    <w:p w14:paraId="3FA44F78" w14:textId="43B25A35" w:rsidR="00FC7F92" w:rsidRPr="00BF1B19" w:rsidRDefault="00FC7F92" w:rsidP="005F28D3">
      <w:pPr>
        <w:pStyle w:val="BodyText"/>
        <w:ind w:left="720"/>
        <w:jc w:val="both"/>
      </w:pPr>
      <w:r w:rsidRPr="00BF1B19">
        <w:t xml:space="preserve">Nanjia Capital ICAV has the following sub-funds: </w:t>
      </w:r>
    </w:p>
    <w:p w14:paraId="2C3B8017" w14:textId="77777777" w:rsidR="00B97564" w:rsidRPr="00BF1B19" w:rsidRDefault="00B97564" w:rsidP="005F28D3">
      <w:pPr>
        <w:pStyle w:val="BodyText"/>
        <w:keepNext/>
        <w:ind w:left="720"/>
      </w:pPr>
    </w:p>
    <w:p w14:paraId="48A3B91A" w14:textId="77777777" w:rsidR="008C004D" w:rsidRPr="00BF1B19" w:rsidRDefault="008C004D" w:rsidP="008C004D">
      <w:pPr>
        <w:pStyle w:val="ListParagraph"/>
        <w:numPr>
          <w:ilvl w:val="0"/>
          <w:numId w:val="3"/>
        </w:numPr>
        <w:ind w:left="1418" w:hanging="709"/>
      </w:pPr>
      <w:r w:rsidRPr="00BF1B19">
        <w:t xml:space="preserve">XSE </w:t>
      </w:r>
    </w:p>
    <w:p w14:paraId="4C00EAB1" w14:textId="7726DD05" w:rsidR="008C004D" w:rsidRPr="00BF1B19" w:rsidRDefault="008C004D" w:rsidP="008C004D">
      <w:pPr>
        <w:pStyle w:val="ListParagraph"/>
        <w:numPr>
          <w:ilvl w:val="0"/>
          <w:numId w:val="3"/>
        </w:numPr>
        <w:ind w:left="1418" w:hanging="709"/>
      </w:pPr>
      <w:r w:rsidRPr="00BF1B19">
        <w:t>Civetta Nanjia Fund</w:t>
      </w:r>
    </w:p>
    <w:p w14:paraId="0DAD4EEC" w14:textId="03CA9E7E" w:rsidR="007B454C" w:rsidRPr="00BF1B19" w:rsidRDefault="008C004D" w:rsidP="008C004D">
      <w:pPr>
        <w:pStyle w:val="ListParagraph"/>
        <w:numPr>
          <w:ilvl w:val="0"/>
          <w:numId w:val="3"/>
        </w:numPr>
        <w:ind w:left="1418" w:hanging="709"/>
        <w:rPr>
          <w:b/>
          <w:bCs/>
        </w:rPr>
      </w:pPr>
      <w:r w:rsidRPr="00BF1B19">
        <w:t>Cyrus</w:t>
      </w:r>
    </w:p>
    <w:p w14:paraId="73990DEE" w14:textId="77777777" w:rsidR="00B421FF" w:rsidRPr="00A1648F" w:rsidRDefault="00B421FF" w:rsidP="008C004D">
      <w:pPr>
        <w:ind w:left="1418" w:hanging="709"/>
      </w:pPr>
    </w:p>
    <w:p w14:paraId="51B85520" w14:textId="77777777" w:rsidR="00BD063C" w:rsidRPr="00A1648F" w:rsidRDefault="00BD063C">
      <w:pPr>
        <w:rPr>
          <w:sz w:val="24"/>
        </w:rPr>
      </w:pPr>
    </w:p>
    <w:p w14:paraId="27A69B98" w14:textId="77777777" w:rsidR="00BD063C" w:rsidRPr="00A1648F" w:rsidRDefault="00BD063C">
      <w:pPr>
        <w:rPr>
          <w:sz w:val="24"/>
        </w:rPr>
      </w:pPr>
    </w:p>
    <w:p w14:paraId="2A6DC0AB" w14:textId="3A2DF340" w:rsidR="00B421FF" w:rsidRPr="00BF1B19" w:rsidRDefault="00B421FF" w:rsidP="005F28D3"/>
    <w:sectPr w:rsidR="00B421FF" w:rsidRPr="00BF1B19" w:rsidSect="006C3A39">
      <w:headerReference w:type="even" r:id="rId20"/>
      <w:headerReference w:type="default" r:id="rId21"/>
      <w:footerReference w:type="default" r:id="rId22"/>
      <w:headerReference w:type="first" r:id="rId23"/>
      <w:pgSz w:w="11910" w:h="16840"/>
      <w:pgMar w:top="1134" w:right="1134" w:bottom="1134" w:left="1134" w:header="0" w:footer="594"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29856" w14:textId="77777777" w:rsidR="001403B8" w:rsidRDefault="001403B8">
      <w:r>
        <w:separator/>
      </w:r>
    </w:p>
  </w:endnote>
  <w:endnote w:type="continuationSeparator" w:id="0">
    <w:p w14:paraId="6F9DB4E1" w14:textId="77777777" w:rsidR="001403B8" w:rsidRDefault="001403B8">
      <w:r>
        <w:continuationSeparator/>
      </w:r>
    </w:p>
  </w:endnote>
  <w:endnote w:type="continuationNotice" w:id="1">
    <w:p w14:paraId="457D1025" w14:textId="77777777" w:rsidR="001403B8" w:rsidRDefault="001403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0EB68" w14:textId="77777777" w:rsidR="00E54D92" w:rsidRDefault="00E54D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13E57" w14:textId="77777777" w:rsidR="00E54D92" w:rsidRDefault="00E54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FA53" w14:textId="77777777" w:rsidR="00E54D92" w:rsidRDefault="00E54D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A30FE" w14:textId="1A22DE48" w:rsidR="006C3A39" w:rsidRPr="00214B94" w:rsidRDefault="006C3A39" w:rsidP="00214B9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6499B" w14:textId="77777777" w:rsidR="00214B94" w:rsidRPr="005F28D3" w:rsidRDefault="00214B94" w:rsidP="00214B94">
    <w:pPr>
      <w:pStyle w:val="FooterReference1"/>
      <w:jc w:val="center"/>
      <w:rPr>
        <w:rFonts w:ascii="Verdana" w:hAnsi="Verdana"/>
        <w:color w:val="FFFFFF" w:themeColor="background1"/>
        <w:sz w:val="12"/>
      </w:rPr>
    </w:pPr>
    <w:r>
      <w:rPr>
        <w:rFonts w:ascii="Verdana" w:hAnsi="Verdana"/>
        <w:sz w:val="14"/>
        <w:szCs w:val="14"/>
      </w:rPr>
      <w:fldChar w:fldCharType="begin"/>
    </w:r>
    <w:r>
      <w:rPr>
        <w:rFonts w:ascii="Verdana" w:hAnsi="Verdana"/>
        <w:sz w:val="14"/>
        <w:szCs w:val="14"/>
      </w:rPr>
      <w:instrText xml:space="preserve"> PAGE </w:instrText>
    </w:r>
    <w:r>
      <w:rPr>
        <w:rFonts w:ascii="Verdana" w:hAnsi="Verdana"/>
        <w:sz w:val="14"/>
        <w:szCs w:val="14"/>
      </w:rPr>
      <w:fldChar w:fldCharType="separate"/>
    </w:r>
    <w:r>
      <w:rPr>
        <w:rFonts w:ascii="Verdana" w:hAnsi="Verdana"/>
        <w:sz w:val="14"/>
        <w:szCs w:val="14"/>
      </w:rPr>
      <w:t>2</w:t>
    </w:r>
    <w:r>
      <w:rPr>
        <w:rFonts w:ascii="Verdana" w:hAnsi="Verdana"/>
        <w:sz w:val="14"/>
        <w:szCs w:val="14"/>
      </w:rPr>
      <w:fldChar w:fldCharType="end"/>
    </w:r>
  </w:p>
  <w:p w14:paraId="40A7A38B" w14:textId="6CDF7DBC" w:rsidR="006C3A39" w:rsidRPr="00214B94" w:rsidRDefault="006C3A39" w:rsidP="00214B9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45D42" w14:textId="37CBA26C" w:rsidR="006C3A39" w:rsidRPr="00214B94" w:rsidRDefault="006C3A39" w:rsidP="00214B9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B9288" w14:textId="08DEB4AC" w:rsidR="006C3A39" w:rsidRPr="00214B94" w:rsidRDefault="006C3A39" w:rsidP="00214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4329E" w14:textId="77777777" w:rsidR="001403B8" w:rsidRDefault="001403B8">
      <w:r>
        <w:separator/>
      </w:r>
    </w:p>
  </w:footnote>
  <w:footnote w:type="continuationSeparator" w:id="0">
    <w:p w14:paraId="5ADF6F7D" w14:textId="77777777" w:rsidR="001403B8" w:rsidRDefault="001403B8">
      <w:r>
        <w:continuationSeparator/>
      </w:r>
    </w:p>
  </w:footnote>
  <w:footnote w:type="continuationNotice" w:id="1">
    <w:p w14:paraId="4705BA4A" w14:textId="77777777" w:rsidR="001403B8" w:rsidRDefault="001403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C3D51" w14:textId="77777777" w:rsidR="00E54D92" w:rsidRDefault="00E54D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A18DA" w14:textId="77777777" w:rsidR="00E54D92" w:rsidRDefault="00E54D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14F3D" w14:textId="255747C9" w:rsidR="00B91F08" w:rsidRPr="005F28D3" w:rsidRDefault="00B91F08" w:rsidP="005F28D3">
    <w:pPr>
      <w:pStyle w:val="Header"/>
      <w:jc w:val="right"/>
      <w:rPr>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DE040" w14:textId="77777777" w:rsidR="006C3A39" w:rsidRDefault="006C3A39" w:rsidP="005F28D3">
    <w:pPr>
      <w:pStyle w:val="Header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77D4C" w14:textId="77777777" w:rsidR="006C3A39" w:rsidRDefault="006C3A39" w:rsidP="005F28D3">
    <w:pPr>
      <w:pStyle w:val="Header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D91F" w14:textId="7E12F19A" w:rsidR="006C3A39" w:rsidRPr="00214B94" w:rsidRDefault="006C3A39" w:rsidP="00214B9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B56F5" w14:textId="77777777" w:rsidR="006C3A39" w:rsidRPr="00214B94" w:rsidRDefault="006C3A39" w:rsidP="00214B9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F9429" w14:textId="77777777" w:rsidR="006C3A39" w:rsidRPr="00214B94" w:rsidRDefault="006C3A39" w:rsidP="00214B9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3B7B7" w14:textId="77777777" w:rsidR="006C3A39" w:rsidRDefault="006C3A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5EF"/>
    <w:multiLevelType w:val="multilevel"/>
    <w:tmpl w:val="7780ED5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6A9620"/>
    <w:multiLevelType w:val="hybridMultilevel"/>
    <w:tmpl w:val="48C2BBD8"/>
    <w:lvl w:ilvl="0" w:tplc="E642391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6A962F"/>
    <w:multiLevelType w:val="hybridMultilevel"/>
    <w:tmpl w:val="67A21D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7024C0D"/>
    <w:multiLevelType w:val="multilevel"/>
    <w:tmpl w:val="A85EA4D0"/>
    <w:lvl w:ilvl="0">
      <w:start w:val="1"/>
      <w:numFmt w:val="upperRoman"/>
      <w:pStyle w:val="PartBanking"/>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933730B"/>
    <w:multiLevelType w:val="singleLevel"/>
    <w:tmpl w:val="B7B29B5E"/>
    <w:lvl w:ilvl="0">
      <w:start w:val="1"/>
      <w:numFmt w:val="decimal"/>
      <w:pStyle w:val="Parties"/>
      <w:lvlText w:val="(%1)"/>
      <w:lvlJc w:val="left"/>
      <w:pPr>
        <w:tabs>
          <w:tab w:val="num" w:pos="851"/>
        </w:tabs>
        <w:ind w:left="851" w:hanging="851"/>
      </w:pPr>
    </w:lvl>
  </w:abstractNum>
  <w:abstractNum w:abstractNumId="5" w15:restartNumberingAfterBreak="0">
    <w:nsid w:val="1BCE6BD4"/>
    <w:multiLevelType w:val="hybridMultilevel"/>
    <w:tmpl w:val="B6B00370"/>
    <w:lvl w:ilvl="0" w:tplc="E642391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02557C0"/>
    <w:multiLevelType w:val="multilevel"/>
    <w:tmpl w:val="1EC26C3E"/>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7" w15:restartNumberingAfterBreak="0">
    <w:nsid w:val="3B9A4DB4"/>
    <w:multiLevelType w:val="hybridMultilevel"/>
    <w:tmpl w:val="70B8CD6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41121C39"/>
    <w:multiLevelType w:val="multilevel"/>
    <w:tmpl w:val="11F68056"/>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BA83855"/>
    <w:multiLevelType w:val="hybridMultilevel"/>
    <w:tmpl w:val="C2A6F37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4DE0544D"/>
    <w:multiLevelType w:val="hybridMultilevel"/>
    <w:tmpl w:val="8668DDE6"/>
    <w:lvl w:ilvl="0" w:tplc="5F8CF230">
      <w:start w:val="1"/>
      <w:numFmt w:val="decimal"/>
      <w:lvlText w:val="%1."/>
      <w:lvlJc w:val="left"/>
      <w:pPr>
        <w:ind w:left="960" w:hanging="853"/>
      </w:pPr>
      <w:rPr>
        <w:rFonts w:ascii="Verdana" w:eastAsia="Verdana" w:hAnsi="Verdana" w:cs="Verdana" w:hint="default"/>
        <w:spacing w:val="-2"/>
        <w:w w:val="100"/>
        <w:sz w:val="18"/>
        <w:szCs w:val="18"/>
        <w:lang w:val="en-US" w:eastAsia="en-US" w:bidi="en-US"/>
      </w:rPr>
    </w:lvl>
    <w:lvl w:ilvl="1" w:tplc="BB02CCEC">
      <w:numFmt w:val="bullet"/>
      <w:lvlText w:val="•"/>
      <w:lvlJc w:val="left"/>
      <w:pPr>
        <w:ind w:left="1876" w:hanging="853"/>
      </w:pPr>
      <w:rPr>
        <w:rFonts w:hint="default"/>
        <w:lang w:val="en-US" w:eastAsia="en-US" w:bidi="en-US"/>
      </w:rPr>
    </w:lvl>
    <w:lvl w:ilvl="2" w:tplc="3646769A">
      <w:numFmt w:val="bullet"/>
      <w:lvlText w:val="•"/>
      <w:lvlJc w:val="left"/>
      <w:pPr>
        <w:ind w:left="2793" w:hanging="853"/>
      </w:pPr>
      <w:rPr>
        <w:rFonts w:hint="default"/>
        <w:lang w:val="en-US" w:eastAsia="en-US" w:bidi="en-US"/>
      </w:rPr>
    </w:lvl>
    <w:lvl w:ilvl="3" w:tplc="4C9A1B30">
      <w:numFmt w:val="bullet"/>
      <w:lvlText w:val="•"/>
      <w:lvlJc w:val="left"/>
      <w:pPr>
        <w:ind w:left="3710" w:hanging="853"/>
      </w:pPr>
      <w:rPr>
        <w:rFonts w:hint="default"/>
        <w:lang w:val="en-US" w:eastAsia="en-US" w:bidi="en-US"/>
      </w:rPr>
    </w:lvl>
    <w:lvl w:ilvl="4" w:tplc="78889B88">
      <w:numFmt w:val="bullet"/>
      <w:lvlText w:val="•"/>
      <w:lvlJc w:val="left"/>
      <w:pPr>
        <w:ind w:left="4627" w:hanging="853"/>
      </w:pPr>
      <w:rPr>
        <w:rFonts w:hint="default"/>
        <w:lang w:val="en-US" w:eastAsia="en-US" w:bidi="en-US"/>
      </w:rPr>
    </w:lvl>
    <w:lvl w:ilvl="5" w:tplc="25D273E0">
      <w:numFmt w:val="bullet"/>
      <w:lvlText w:val="•"/>
      <w:lvlJc w:val="left"/>
      <w:pPr>
        <w:ind w:left="5544" w:hanging="853"/>
      </w:pPr>
      <w:rPr>
        <w:rFonts w:hint="default"/>
        <w:lang w:val="en-US" w:eastAsia="en-US" w:bidi="en-US"/>
      </w:rPr>
    </w:lvl>
    <w:lvl w:ilvl="6" w:tplc="E47C2686">
      <w:numFmt w:val="bullet"/>
      <w:lvlText w:val="•"/>
      <w:lvlJc w:val="left"/>
      <w:pPr>
        <w:ind w:left="6461" w:hanging="853"/>
      </w:pPr>
      <w:rPr>
        <w:rFonts w:hint="default"/>
        <w:lang w:val="en-US" w:eastAsia="en-US" w:bidi="en-US"/>
      </w:rPr>
    </w:lvl>
    <w:lvl w:ilvl="7" w:tplc="4F40D40A">
      <w:numFmt w:val="bullet"/>
      <w:lvlText w:val="•"/>
      <w:lvlJc w:val="left"/>
      <w:pPr>
        <w:ind w:left="7378" w:hanging="853"/>
      </w:pPr>
      <w:rPr>
        <w:rFonts w:hint="default"/>
        <w:lang w:val="en-US" w:eastAsia="en-US" w:bidi="en-US"/>
      </w:rPr>
    </w:lvl>
    <w:lvl w:ilvl="8" w:tplc="209A01FA">
      <w:numFmt w:val="bullet"/>
      <w:lvlText w:val="•"/>
      <w:lvlJc w:val="left"/>
      <w:pPr>
        <w:ind w:left="8295" w:hanging="853"/>
      </w:pPr>
      <w:rPr>
        <w:rFonts w:hint="default"/>
        <w:lang w:val="en-US" w:eastAsia="en-US" w:bidi="en-US"/>
      </w:rPr>
    </w:lvl>
  </w:abstractNum>
  <w:abstractNum w:abstractNumId="11" w15:restartNumberingAfterBreak="0">
    <w:nsid w:val="53704003"/>
    <w:multiLevelType w:val="hybridMultilevel"/>
    <w:tmpl w:val="F61AE0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8267AF5"/>
    <w:multiLevelType w:val="multilevel"/>
    <w:tmpl w:val="516AE2B0"/>
    <w:lvl w:ilvl="0">
      <w:start w:val="1"/>
      <w:numFmt w:val="decimal"/>
      <w:pStyle w:val="Schedule"/>
      <w:suff w:val="space"/>
      <w:lvlText w:val=""/>
      <w:lvlJc w:val="left"/>
      <w:pPr>
        <w:ind w:left="360" w:hanging="360"/>
      </w:pPr>
      <w:rPr>
        <w:rFonts w:hint="default"/>
        <w:vanish w:val="0"/>
        <w:color w:val="FFFFFF" w:themeColor="background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A303C82"/>
    <w:multiLevelType w:val="hybridMultilevel"/>
    <w:tmpl w:val="35320E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D5604DE"/>
    <w:multiLevelType w:val="hybridMultilevel"/>
    <w:tmpl w:val="39F8725A"/>
    <w:lvl w:ilvl="0" w:tplc="40E85652">
      <w:start w:val="1"/>
      <w:numFmt w:val="lowerLetter"/>
      <w:pStyle w:val="abcdDefinition"/>
      <w:lvlText w:val="(%1)"/>
      <w:lvlJc w:val="left"/>
      <w:pPr>
        <w:ind w:left="851" w:hanging="851"/>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787184"/>
    <w:multiLevelType w:val="multilevel"/>
    <w:tmpl w:val="071C2820"/>
    <w:lvl w:ilvl="0">
      <w:start w:val="1"/>
      <w:numFmt w:val="decimal"/>
      <w:pStyle w:val="Level1"/>
      <w:lvlText w:val="%1."/>
      <w:lvlJc w:val="left"/>
      <w:pPr>
        <w:tabs>
          <w:tab w:val="num" w:pos="851"/>
        </w:tabs>
        <w:ind w:left="851" w:hanging="851"/>
      </w:pPr>
      <w:rPr>
        <w:rFonts w:hint="default"/>
        <w:b/>
        <w:bCs/>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decimal"/>
      <w:pStyle w:val="Level6"/>
      <w:lvlText w:val="(%6)"/>
      <w:lvlJc w:val="left"/>
      <w:pPr>
        <w:tabs>
          <w:tab w:val="num" w:pos="3686"/>
        </w:tabs>
        <w:ind w:left="3686" w:hanging="567"/>
      </w:pPr>
      <w:rPr>
        <w:rFonts w:hint="default"/>
      </w:rPr>
    </w:lvl>
    <w:lvl w:ilvl="6">
      <w:start w:val="1"/>
      <w:numFmt w:val="upperLetter"/>
      <w:pStyle w:val="Level7"/>
      <w:lvlText w:val="(%7)"/>
      <w:lvlJc w:val="left"/>
      <w:pPr>
        <w:tabs>
          <w:tab w:val="num" w:pos="4253"/>
        </w:tabs>
        <w:ind w:left="4253" w:hanging="567"/>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6" w15:restartNumberingAfterBreak="0">
    <w:nsid w:val="63270F99"/>
    <w:multiLevelType w:val="multilevel"/>
    <w:tmpl w:val="956E40E8"/>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7" w15:restartNumberingAfterBreak="0">
    <w:nsid w:val="76335C02"/>
    <w:multiLevelType w:val="multilevel"/>
    <w:tmpl w:val="C1520D9C"/>
    <w:lvl w:ilvl="0">
      <w:start w:val="1"/>
      <w:numFmt w:val="decimal"/>
      <w:pStyle w:val="Section"/>
      <w:suff w:val="space"/>
      <w:lvlText w:val="SECTION %1"/>
      <w:lvlJc w:val="left"/>
      <w:pPr>
        <w:ind w:left="0" w:firstLine="142"/>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B9D102E"/>
    <w:multiLevelType w:val="singleLevel"/>
    <w:tmpl w:val="0B9CC66C"/>
    <w:lvl w:ilvl="0">
      <w:start w:val="1"/>
      <w:numFmt w:val="upperLetter"/>
      <w:pStyle w:val="Background"/>
      <w:lvlText w:val="(%1)"/>
      <w:lvlJc w:val="left"/>
      <w:pPr>
        <w:tabs>
          <w:tab w:val="num" w:pos="851"/>
        </w:tabs>
        <w:ind w:left="851" w:hanging="851"/>
      </w:pPr>
    </w:lvl>
  </w:abstractNum>
  <w:num w:numId="1" w16cid:durableId="389768052">
    <w:abstractNumId w:val="10"/>
  </w:num>
  <w:num w:numId="2" w16cid:durableId="156383769">
    <w:abstractNumId w:val="11"/>
  </w:num>
  <w:num w:numId="3" w16cid:durableId="35274782">
    <w:abstractNumId w:val="7"/>
  </w:num>
  <w:num w:numId="4" w16cid:durableId="1250192554">
    <w:abstractNumId w:val="5"/>
  </w:num>
  <w:num w:numId="5" w16cid:durableId="948969098">
    <w:abstractNumId w:val="14"/>
  </w:num>
  <w:num w:numId="6" w16cid:durableId="349601025">
    <w:abstractNumId w:val="18"/>
  </w:num>
  <w:num w:numId="7" w16cid:durableId="1965236844">
    <w:abstractNumId w:val="16"/>
  </w:num>
  <w:num w:numId="8" w16cid:durableId="232786478">
    <w:abstractNumId w:val="15"/>
  </w:num>
  <w:num w:numId="9" w16cid:durableId="434180243">
    <w:abstractNumId w:val="4"/>
  </w:num>
  <w:num w:numId="10" w16cid:durableId="1932856138">
    <w:abstractNumId w:val="6"/>
  </w:num>
  <w:num w:numId="11" w16cid:durableId="2020041798">
    <w:abstractNumId w:val="8"/>
  </w:num>
  <w:num w:numId="12" w16cid:durableId="377170505">
    <w:abstractNumId w:val="3"/>
  </w:num>
  <w:num w:numId="13" w16cid:durableId="1039552567">
    <w:abstractNumId w:val="0"/>
  </w:num>
  <w:num w:numId="14" w16cid:durableId="1927641428">
    <w:abstractNumId w:val="12"/>
  </w:num>
  <w:num w:numId="15" w16cid:durableId="1225599194">
    <w:abstractNumId w:val="17"/>
  </w:num>
  <w:num w:numId="16" w16cid:durableId="302854515">
    <w:abstractNumId w:val="13"/>
  </w:num>
  <w:num w:numId="17" w16cid:durableId="481889270">
    <w:abstractNumId w:val="1"/>
  </w:num>
  <w:num w:numId="18" w16cid:durableId="1421100352">
    <w:abstractNumId w:val="2"/>
  </w:num>
  <w:num w:numId="19" w16cid:durableId="1932276091">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NDocID" w:val="84920777.3"/>
    <w:docVar w:name="ChkLevel2" w:val="False"/>
    <w:docVar w:name="ChkLevel3" w:val="False"/>
    <w:docVar w:name="ChkSched" w:val="True"/>
    <w:docVar w:name="CurrentReferenceFormat" w:val="[DocumentNumber].[DocumentVersion]"/>
    <w:docVar w:name="DocumentReferencePlacement" w:val="AllPages"/>
    <w:docVar w:name="imProfileCustom1Description" w:val="Nanjia Capital Limited"/>
    <w:docVar w:name="imProfileCustom2" w:val="22723388"/>
    <w:docVar w:name="imProfileCustom2Description" w:val="Nanjia ICAV - ESG Updates"/>
    <w:docVar w:name="imProfileDatabase" w:val="Current"/>
    <w:docVar w:name="imProfileDocNum" w:val="84920777"/>
    <w:docVar w:name="imProfileLastSavedTime" w:val="17-Nov-22 15:27"/>
    <w:docVar w:name="imProfileVersion" w:val="2"/>
    <w:docVar w:name="NextRef" w:val=" 18"/>
  </w:docVars>
  <w:rsids>
    <w:rsidRoot w:val="00424F46"/>
    <w:rsid w:val="00000F23"/>
    <w:rsid w:val="00001597"/>
    <w:rsid w:val="000057B4"/>
    <w:rsid w:val="00005B89"/>
    <w:rsid w:val="000079E6"/>
    <w:rsid w:val="00007EEA"/>
    <w:rsid w:val="00010756"/>
    <w:rsid w:val="00016D8B"/>
    <w:rsid w:val="00026A2E"/>
    <w:rsid w:val="00040A12"/>
    <w:rsid w:val="00041A5E"/>
    <w:rsid w:val="00041BB2"/>
    <w:rsid w:val="000477B9"/>
    <w:rsid w:val="00050A6D"/>
    <w:rsid w:val="00052E1E"/>
    <w:rsid w:val="000577BA"/>
    <w:rsid w:val="0006328B"/>
    <w:rsid w:val="0006375E"/>
    <w:rsid w:val="00065B3B"/>
    <w:rsid w:val="00065E30"/>
    <w:rsid w:val="0008180D"/>
    <w:rsid w:val="00082D10"/>
    <w:rsid w:val="00082F97"/>
    <w:rsid w:val="0008535C"/>
    <w:rsid w:val="00087ED7"/>
    <w:rsid w:val="00091312"/>
    <w:rsid w:val="00091A66"/>
    <w:rsid w:val="00091F9F"/>
    <w:rsid w:val="00094179"/>
    <w:rsid w:val="000A4B5B"/>
    <w:rsid w:val="000A5F93"/>
    <w:rsid w:val="000A6C17"/>
    <w:rsid w:val="000B574D"/>
    <w:rsid w:val="000B61FB"/>
    <w:rsid w:val="000C19E9"/>
    <w:rsid w:val="000C19EB"/>
    <w:rsid w:val="000C4996"/>
    <w:rsid w:val="000D285E"/>
    <w:rsid w:val="000D5C3D"/>
    <w:rsid w:val="000E1B68"/>
    <w:rsid w:val="000E2EB0"/>
    <w:rsid w:val="000E430D"/>
    <w:rsid w:val="000E4C6D"/>
    <w:rsid w:val="000E50AE"/>
    <w:rsid w:val="000E6C58"/>
    <w:rsid w:val="000E745B"/>
    <w:rsid w:val="000F012C"/>
    <w:rsid w:val="000F0B15"/>
    <w:rsid w:val="000F19E7"/>
    <w:rsid w:val="000F3865"/>
    <w:rsid w:val="000F4E8E"/>
    <w:rsid w:val="00101585"/>
    <w:rsid w:val="0010271B"/>
    <w:rsid w:val="001033EC"/>
    <w:rsid w:val="00103574"/>
    <w:rsid w:val="00103FA9"/>
    <w:rsid w:val="0010478E"/>
    <w:rsid w:val="001147B3"/>
    <w:rsid w:val="001229A5"/>
    <w:rsid w:val="00126B34"/>
    <w:rsid w:val="00127F49"/>
    <w:rsid w:val="001322D4"/>
    <w:rsid w:val="001335F2"/>
    <w:rsid w:val="00137E3D"/>
    <w:rsid w:val="001403B8"/>
    <w:rsid w:val="00141366"/>
    <w:rsid w:val="00142E0C"/>
    <w:rsid w:val="0014326C"/>
    <w:rsid w:val="00144C23"/>
    <w:rsid w:val="00146BEA"/>
    <w:rsid w:val="001508FF"/>
    <w:rsid w:val="00150ABC"/>
    <w:rsid w:val="00151300"/>
    <w:rsid w:val="00151FF0"/>
    <w:rsid w:val="00157B1C"/>
    <w:rsid w:val="001612A1"/>
    <w:rsid w:val="00162AD1"/>
    <w:rsid w:val="00165A37"/>
    <w:rsid w:val="00165B7E"/>
    <w:rsid w:val="00166846"/>
    <w:rsid w:val="00167242"/>
    <w:rsid w:val="00167D69"/>
    <w:rsid w:val="0017280B"/>
    <w:rsid w:val="00174BA6"/>
    <w:rsid w:val="00176122"/>
    <w:rsid w:val="001771D1"/>
    <w:rsid w:val="00177910"/>
    <w:rsid w:val="0018121E"/>
    <w:rsid w:val="00183B34"/>
    <w:rsid w:val="001940AA"/>
    <w:rsid w:val="00197B6B"/>
    <w:rsid w:val="001A13FC"/>
    <w:rsid w:val="001A3EA0"/>
    <w:rsid w:val="001A49D4"/>
    <w:rsid w:val="001A521C"/>
    <w:rsid w:val="001B092C"/>
    <w:rsid w:val="001B14BA"/>
    <w:rsid w:val="001B2ECC"/>
    <w:rsid w:val="001B55CD"/>
    <w:rsid w:val="001B6C71"/>
    <w:rsid w:val="001B7991"/>
    <w:rsid w:val="001C3AE0"/>
    <w:rsid w:val="001C3F36"/>
    <w:rsid w:val="001C730A"/>
    <w:rsid w:val="001D41A6"/>
    <w:rsid w:val="001D58CD"/>
    <w:rsid w:val="001E2843"/>
    <w:rsid w:val="001E5C41"/>
    <w:rsid w:val="001E6526"/>
    <w:rsid w:val="001F25A6"/>
    <w:rsid w:val="001F4A15"/>
    <w:rsid w:val="001F55CA"/>
    <w:rsid w:val="00202B12"/>
    <w:rsid w:val="002078E9"/>
    <w:rsid w:val="00214B94"/>
    <w:rsid w:val="0021732A"/>
    <w:rsid w:val="0022101A"/>
    <w:rsid w:val="00221537"/>
    <w:rsid w:val="00221860"/>
    <w:rsid w:val="0022283D"/>
    <w:rsid w:val="0022427A"/>
    <w:rsid w:val="002270CB"/>
    <w:rsid w:val="002274CD"/>
    <w:rsid w:val="00232665"/>
    <w:rsid w:val="00234DD7"/>
    <w:rsid w:val="00236D44"/>
    <w:rsid w:val="00237A91"/>
    <w:rsid w:val="00242B0E"/>
    <w:rsid w:val="00242EA6"/>
    <w:rsid w:val="0024489D"/>
    <w:rsid w:val="00244D13"/>
    <w:rsid w:val="002464EA"/>
    <w:rsid w:val="0025231C"/>
    <w:rsid w:val="00252B04"/>
    <w:rsid w:val="00252F3B"/>
    <w:rsid w:val="00254359"/>
    <w:rsid w:val="0025789C"/>
    <w:rsid w:val="00260461"/>
    <w:rsid w:val="00263257"/>
    <w:rsid w:val="00264A7E"/>
    <w:rsid w:val="00270580"/>
    <w:rsid w:val="00272012"/>
    <w:rsid w:val="00273615"/>
    <w:rsid w:val="00275B3F"/>
    <w:rsid w:val="00281908"/>
    <w:rsid w:val="00281EBB"/>
    <w:rsid w:val="00290995"/>
    <w:rsid w:val="00293A3A"/>
    <w:rsid w:val="00294447"/>
    <w:rsid w:val="002945B6"/>
    <w:rsid w:val="002952A0"/>
    <w:rsid w:val="00295B93"/>
    <w:rsid w:val="00296E66"/>
    <w:rsid w:val="002A1C12"/>
    <w:rsid w:val="002A1FDC"/>
    <w:rsid w:val="002A3042"/>
    <w:rsid w:val="002A79D0"/>
    <w:rsid w:val="002A7C0B"/>
    <w:rsid w:val="002B131D"/>
    <w:rsid w:val="002B7180"/>
    <w:rsid w:val="002B71AE"/>
    <w:rsid w:val="002C0098"/>
    <w:rsid w:val="002C091F"/>
    <w:rsid w:val="002C4497"/>
    <w:rsid w:val="002C66B5"/>
    <w:rsid w:val="002D2F6D"/>
    <w:rsid w:val="002E21B7"/>
    <w:rsid w:val="002F1C82"/>
    <w:rsid w:val="002F20E5"/>
    <w:rsid w:val="002F4C64"/>
    <w:rsid w:val="002F5BA9"/>
    <w:rsid w:val="00302A0E"/>
    <w:rsid w:val="00302D93"/>
    <w:rsid w:val="003068E5"/>
    <w:rsid w:val="00306AC5"/>
    <w:rsid w:val="00307550"/>
    <w:rsid w:val="00310012"/>
    <w:rsid w:val="00310F8D"/>
    <w:rsid w:val="003137D6"/>
    <w:rsid w:val="00313915"/>
    <w:rsid w:val="0031677A"/>
    <w:rsid w:val="003261E4"/>
    <w:rsid w:val="003276E9"/>
    <w:rsid w:val="003309AE"/>
    <w:rsid w:val="00332B0B"/>
    <w:rsid w:val="003337A6"/>
    <w:rsid w:val="00335C09"/>
    <w:rsid w:val="00342516"/>
    <w:rsid w:val="003431CD"/>
    <w:rsid w:val="00343B8F"/>
    <w:rsid w:val="0034446E"/>
    <w:rsid w:val="00344879"/>
    <w:rsid w:val="00344D1C"/>
    <w:rsid w:val="003450CB"/>
    <w:rsid w:val="00351B26"/>
    <w:rsid w:val="00354786"/>
    <w:rsid w:val="0035791C"/>
    <w:rsid w:val="00361D17"/>
    <w:rsid w:val="00363AE9"/>
    <w:rsid w:val="00366336"/>
    <w:rsid w:val="00366FD6"/>
    <w:rsid w:val="00373E20"/>
    <w:rsid w:val="0037448E"/>
    <w:rsid w:val="003749D6"/>
    <w:rsid w:val="00381314"/>
    <w:rsid w:val="00382AF0"/>
    <w:rsid w:val="00383494"/>
    <w:rsid w:val="003902F6"/>
    <w:rsid w:val="003903FB"/>
    <w:rsid w:val="0039404D"/>
    <w:rsid w:val="003A1245"/>
    <w:rsid w:val="003A51DD"/>
    <w:rsid w:val="003A6529"/>
    <w:rsid w:val="003B00CB"/>
    <w:rsid w:val="003B1760"/>
    <w:rsid w:val="003B1A77"/>
    <w:rsid w:val="003B1C5E"/>
    <w:rsid w:val="003B207B"/>
    <w:rsid w:val="003B392B"/>
    <w:rsid w:val="003B3EDF"/>
    <w:rsid w:val="003C023E"/>
    <w:rsid w:val="003C13A8"/>
    <w:rsid w:val="003C279F"/>
    <w:rsid w:val="003C3C2B"/>
    <w:rsid w:val="003C4B53"/>
    <w:rsid w:val="003C5F2F"/>
    <w:rsid w:val="003C791F"/>
    <w:rsid w:val="003C7BA4"/>
    <w:rsid w:val="003D1F22"/>
    <w:rsid w:val="003D402C"/>
    <w:rsid w:val="003D4398"/>
    <w:rsid w:val="003E00BC"/>
    <w:rsid w:val="003E26C2"/>
    <w:rsid w:val="003E7CA6"/>
    <w:rsid w:val="003F36B6"/>
    <w:rsid w:val="003F7188"/>
    <w:rsid w:val="004100F3"/>
    <w:rsid w:val="00411FDF"/>
    <w:rsid w:val="00416B18"/>
    <w:rsid w:val="00416E23"/>
    <w:rsid w:val="0042196B"/>
    <w:rsid w:val="00422B5D"/>
    <w:rsid w:val="00424F46"/>
    <w:rsid w:val="00430983"/>
    <w:rsid w:val="0043409C"/>
    <w:rsid w:val="00434B31"/>
    <w:rsid w:val="00441EBE"/>
    <w:rsid w:val="0044475D"/>
    <w:rsid w:val="00445A7A"/>
    <w:rsid w:val="00445CE3"/>
    <w:rsid w:val="0044788F"/>
    <w:rsid w:val="00451F41"/>
    <w:rsid w:val="004520A9"/>
    <w:rsid w:val="00453715"/>
    <w:rsid w:val="00457528"/>
    <w:rsid w:val="00460FD6"/>
    <w:rsid w:val="004610D9"/>
    <w:rsid w:val="0046118F"/>
    <w:rsid w:val="00461902"/>
    <w:rsid w:val="00465B1B"/>
    <w:rsid w:val="004676AF"/>
    <w:rsid w:val="00472E5E"/>
    <w:rsid w:val="004879C2"/>
    <w:rsid w:val="0049143A"/>
    <w:rsid w:val="00492699"/>
    <w:rsid w:val="0049340E"/>
    <w:rsid w:val="004A63ED"/>
    <w:rsid w:val="004B01B4"/>
    <w:rsid w:val="004B26C6"/>
    <w:rsid w:val="004B3D77"/>
    <w:rsid w:val="004B60D2"/>
    <w:rsid w:val="004B75DF"/>
    <w:rsid w:val="004C45EF"/>
    <w:rsid w:val="004C71AE"/>
    <w:rsid w:val="004D3C4A"/>
    <w:rsid w:val="004D5966"/>
    <w:rsid w:val="004E1A07"/>
    <w:rsid w:val="004E1D56"/>
    <w:rsid w:val="004E3F67"/>
    <w:rsid w:val="004F2053"/>
    <w:rsid w:val="004F2B30"/>
    <w:rsid w:val="004F492B"/>
    <w:rsid w:val="004F6A3E"/>
    <w:rsid w:val="00507706"/>
    <w:rsid w:val="00511443"/>
    <w:rsid w:val="00516DDD"/>
    <w:rsid w:val="00517E2A"/>
    <w:rsid w:val="00521267"/>
    <w:rsid w:val="00524DC0"/>
    <w:rsid w:val="005259BF"/>
    <w:rsid w:val="00526AD9"/>
    <w:rsid w:val="00530F97"/>
    <w:rsid w:val="00534563"/>
    <w:rsid w:val="005347A7"/>
    <w:rsid w:val="00536CE2"/>
    <w:rsid w:val="005450D0"/>
    <w:rsid w:val="00547426"/>
    <w:rsid w:val="00550A3C"/>
    <w:rsid w:val="00550BD2"/>
    <w:rsid w:val="00552586"/>
    <w:rsid w:val="00560776"/>
    <w:rsid w:val="0056208C"/>
    <w:rsid w:val="00562EFA"/>
    <w:rsid w:val="00565E75"/>
    <w:rsid w:val="00566C6B"/>
    <w:rsid w:val="00567062"/>
    <w:rsid w:val="00575C33"/>
    <w:rsid w:val="005769F7"/>
    <w:rsid w:val="00586E60"/>
    <w:rsid w:val="00592C40"/>
    <w:rsid w:val="00592EAC"/>
    <w:rsid w:val="005945A7"/>
    <w:rsid w:val="00596F7A"/>
    <w:rsid w:val="00597D13"/>
    <w:rsid w:val="005A0424"/>
    <w:rsid w:val="005A4916"/>
    <w:rsid w:val="005A5F96"/>
    <w:rsid w:val="005B539F"/>
    <w:rsid w:val="005C1736"/>
    <w:rsid w:val="005D0958"/>
    <w:rsid w:val="005D1D51"/>
    <w:rsid w:val="005E0E87"/>
    <w:rsid w:val="005E2AE2"/>
    <w:rsid w:val="005E3F0B"/>
    <w:rsid w:val="005E497D"/>
    <w:rsid w:val="005F1EFD"/>
    <w:rsid w:val="005F26BA"/>
    <w:rsid w:val="005F28D3"/>
    <w:rsid w:val="005F4B06"/>
    <w:rsid w:val="005F6C79"/>
    <w:rsid w:val="005F722B"/>
    <w:rsid w:val="00606056"/>
    <w:rsid w:val="006131AF"/>
    <w:rsid w:val="006145A1"/>
    <w:rsid w:val="00615BD0"/>
    <w:rsid w:val="00617673"/>
    <w:rsid w:val="00622977"/>
    <w:rsid w:val="0062331C"/>
    <w:rsid w:val="0062587C"/>
    <w:rsid w:val="00625F5A"/>
    <w:rsid w:val="00631A77"/>
    <w:rsid w:val="0063608A"/>
    <w:rsid w:val="00636F27"/>
    <w:rsid w:val="00640B69"/>
    <w:rsid w:val="0064164F"/>
    <w:rsid w:val="0064324C"/>
    <w:rsid w:val="00651866"/>
    <w:rsid w:val="00655D05"/>
    <w:rsid w:val="00656037"/>
    <w:rsid w:val="0065659F"/>
    <w:rsid w:val="00662F53"/>
    <w:rsid w:val="00674428"/>
    <w:rsid w:val="00674CC7"/>
    <w:rsid w:val="00675BC8"/>
    <w:rsid w:val="00680233"/>
    <w:rsid w:val="00680A6F"/>
    <w:rsid w:val="00682F68"/>
    <w:rsid w:val="00684583"/>
    <w:rsid w:val="00687AE3"/>
    <w:rsid w:val="00691911"/>
    <w:rsid w:val="00691D10"/>
    <w:rsid w:val="006A0AAD"/>
    <w:rsid w:val="006A420F"/>
    <w:rsid w:val="006B38C4"/>
    <w:rsid w:val="006B5C53"/>
    <w:rsid w:val="006B5E62"/>
    <w:rsid w:val="006C1A48"/>
    <w:rsid w:val="006C3A39"/>
    <w:rsid w:val="006C5122"/>
    <w:rsid w:val="006C548D"/>
    <w:rsid w:val="006C7C88"/>
    <w:rsid w:val="006D131F"/>
    <w:rsid w:val="006D1E0D"/>
    <w:rsid w:val="006D2804"/>
    <w:rsid w:val="006D62ED"/>
    <w:rsid w:val="006E1C2C"/>
    <w:rsid w:val="006E2667"/>
    <w:rsid w:val="006E383C"/>
    <w:rsid w:val="006E687C"/>
    <w:rsid w:val="006E7F26"/>
    <w:rsid w:val="006F1F2D"/>
    <w:rsid w:val="006F2070"/>
    <w:rsid w:val="006F30A2"/>
    <w:rsid w:val="006F317B"/>
    <w:rsid w:val="00700D6A"/>
    <w:rsid w:val="00701836"/>
    <w:rsid w:val="0070186B"/>
    <w:rsid w:val="00701B2D"/>
    <w:rsid w:val="00704109"/>
    <w:rsid w:val="0070563C"/>
    <w:rsid w:val="007057EA"/>
    <w:rsid w:val="00712B25"/>
    <w:rsid w:val="0072215A"/>
    <w:rsid w:val="007304BF"/>
    <w:rsid w:val="00730D0E"/>
    <w:rsid w:val="00731864"/>
    <w:rsid w:val="00732AC3"/>
    <w:rsid w:val="00733736"/>
    <w:rsid w:val="0073468A"/>
    <w:rsid w:val="00735053"/>
    <w:rsid w:val="00740024"/>
    <w:rsid w:val="007404D6"/>
    <w:rsid w:val="007406CF"/>
    <w:rsid w:val="007421FE"/>
    <w:rsid w:val="007444AC"/>
    <w:rsid w:val="00745689"/>
    <w:rsid w:val="00750893"/>
    <w:rsid w:val="00750D23"/>
    <w:rsid w:val="00751733"/>
    <w:rsid w:val="00756781"/>
    <w:rsid w:val="0076091C"/>
    <w:rsid w:val="0076106C"/>
    <w:rsid w:val="007633C5"/>
    <w:rsid w:val="00763A41"/>
    <w:rsid w:val="00765EB1"/>
    <w:rsid w:val="00771846"/>
    <w:rsid w:val="0077391C"/>
    <w:rsid w:val="0077519C"/>
    <w:rsid w:val="0077522E"/>
    <w:rsid w:val="00776C9A"/>
    <w:rsid w:val="007774D2"/>
    <w:rsid w:val="007848B6"/>
    <w:rsid w:val="00784BC8"/>
    <w:rsid w:val="00786B9E"/>
    <w:rsid w:val="007906CD"/>
    <w:rsid w:val="00791139"/>
    <w:rsid w:val="00793E6F"/>
    <w:rsid w:val="007A3982"/>
    <w:rsid w:val="007A796D"/>
    <w:rsid w:val="007A7BA0"/>
    <w:rsid w:val="007B045C"/>
    <w:rsid w:val="007B26D3"/>
    <w:rsid w:val="007B2882"/>
    <w:rsid w:val="007B454C"/>
    <w:rsid w:val="007B6FA6"/>
    <w:rsid w:val="007C0626"/>
    <w:rsid w:val="007C6169"/>
    <w:rsid w:val="007D0FB8"/>
    <w:rsid w:val="007D56A1"/>
    <w:rsid w:val="007D78D5"/>
    <w:rsid w:val="007D7A93"/>
    <w:rsid w:val="007E017F"/>
    <w:rsid w:val="007E3D7C"/>
    <w:rsid w:val="007E3E3B"/>
    <w:rsid w:val="007E600E"/>
    <w:rsid w:val="007E6FF3"/>
    <w:rsid w:val="007F0BBC"/>
    <w:rsid w:val="007F1613"/>
    <w:rsid w:val="007F4F22"/>
    <w:rsid w:val="007F5682"/>
    <w:rsid w:val="007F56C8"/>
    <w:rsid w:val="00804016"/>
    <w:rsid w:val="00804B51"/>
    <w:rsid w:val="00805B42"/>
    <w:rsid w:val="00806B54"/>
    <w:rsid w:val="00807F41"/>
    <w:rsid w:val="00811765"/>
    <w:rsid w:val="00811800"/>
    <w:rsid w:val="008234F9"/>
    <w:rsid w:val="0082778E"/>
    <w:rsid w:val="00832F6A"/>
    <w:rsid w:val="0083611D"/>
    <w:rsid w:val="00843CA6"/>
    <w:rsid w:val="008459D2"/>
    <w:rsid w:val="00845FBC"/>
    <w:rsid w:val="00860B2D"/>
    <w:rsid w:val="008611C2"/>
    <w:rsid w:val="00862F8D"/>
    <w:rsid w:val="008635F2"/>
    <w:rsid w:val="00863E43"/>
    <w:rsid w:val="00865D52"/>
    <w:rsid w:val="008714EA"/>
    <w:rsid w:val="0087561A"/>
    <w:rsid w:val="008758EE"/>
    <w:rsid w:val="00885796"/>
    <w:rsid w:val="00885C70"/>
    <w:rsid w:val="00886216"/>
    <w:rsid w:val="00891A8F"/>
    <w:rsid w:val="0089780A"/>
    <w:rsid w:val="008A5F5B"/>
    <w:rsid w:val="008B2927"/>
    <w:rsid w:val="008B60AB"/>
    <w:rsid w:val="008B62DB"/>
    <w:rsid w:val="008C004D"/>
    <w:rsid w:val="008C315E"/>
    <w:rsid w:val="008C5E67"/>
    <w:rsid w:val="008C75D4"/>
    <w:rsid w:val="008D5F7F"/>
    <w:rsid w:val="008D660B"/>
    <w:rsid w:val="008D7B81"/>
    <w:rsid w:val="008E6A54"/>
    <w:rsid w:val="008E6C99"/>
    <w:rsid w:val="008E7A2D"/>
    <w:rsid w:val="008F1405"/>
    <w:rsid w:val="008F1FD8"/>
    <w:rsid w:val="008F2CA6"/>
    <w:rsid w:val="008F46CC"/>
    <w:rsid w:val="008F4D2E"/>
    <w:rsid w:val="008F602A"/>
    <w:rsid w:val="008F687A"/>
    <w:rsid w:val="008F6C73"/>
    <w:rsid w:val="00910E1A"/>
    <w:rsid w:val="00912F9B"/>
    <w:rsid w:val="009135D8"/>
    <w:rsid w:val="00913883"/>
    <w:rsid w:val="00913DFA"/>
    <w:rsid w:val="00921122"/>
    <w:rsid w:val="00931189"/>
    <w:rsid w:val="009311FC"/>
    <w:rsid w:val="00935637"/>
    <w:rsid w:val="009359A0"/>
    <w:rsid w:val="00943534"/>
    <w:rsid w:val="009438AD"/>
    <w:rsid w:val="0094459C"/>
    <w:rsid w:val="00945B80"/>
    <w:rsid w:val="00951149"/>
    <w:rsid w:val="00951596"/>
    <w:rsid w:val="00951DF1"/>
    <w:rsid w:val="00955E00"/>
    <w:rsid w:val="00960A11"/>
    <w:rsid w:val="00963D86"/>
    <w:rsid w:val="009666A5"/>
    <w:rsid w:val="00966C93"/>
    <w:rsid w:val="00966EE1"/>
    <w:rsid w:val="009713BF"/>
    <w:rsid w:val="00971849"/>
    <w:rsid w:val="00973568"/>
    <w:rsid w:val="00975E9D"/>
    <w:rsid w:val="009812C5"/>
    <w:rsid w:val="00981762"/>
    <w:rsid w:val="00981ADA"/>
    <w:rsid w:val="009822ED"/>
    <w:rsid w:val="00982EC6"/>
    <w:rsid w:val="00983E0E"/>
    <w:rsid w:val="00983F5E"/>
    <w:rsid w:val="00990ED3"/>
    <w:rsid w:val="00991977"/>
    <w:rsid w:val="00995B2E"/>
    <w:rsid w:val="009A00E3"/>
    <w:rsid w:val="009A3F7F"/>
    <w:rsid w:val="009A6F4E"/>
    <w:rsid w:val="009B1246"/>
    <w:rsid w:val="009B1DB3"/>
    <w:rsid w:val="009B3F5B"/>
    <w:rsid w:val="009C17B2"/>
    <w:rsid w:val="009C1BE1"/>
    <w:rsid w:val="009C6A87"/>
    <w:rsid w:val="009D18A4"/>
    <w:rsid w:val="009D2AE9"/>
    <w:rsid w:val="009D5D51"/>
    <w:rsid w:val="009D67E0"/>
    <w:rsid w:val="009E3476"/>
    <w:rsid w:val="009E56DA"/>
    <w:rsid w:val="009E59A7"/>
    <w:rsid w:val="009E64F0"/>
    <w:rsid w:val="009E6A78"/>
    <w:rsid w:val="009E6C8C"/>
    <w:rsid w:val="009E7C01"/>
    <w:rsid w:val="009F1391"/>
    <w:rsid w:val="009F19C8"/>
    <w:rsid w:val="00A000E7"/>
    <w:rsid w:val="00A044DD"/>
    <w:rsid w:val="00A05F52"/>
    <w:rsid w:val="00A07335"/>
    <w:rsid w:val="00A11DFF"/>
    <w:rsid w:val="00A1439D"/>
    <w:rsid w:val="00A14DAC"/>
    <w:rsid w:val="00A1648F"/>
    <w:rsid w:val="00A16FDB"/>
    <w:rsid w:val="00A204DD"/>
    <w:rsid w:val="00A21975"/>
    <w:rsid w:val="00A27667"/>
    <w:rsid w:val="00A27A36"/>
    <w:rsid w:val="00A37B26"/>
    <w:rsid w:val="00A413B8"/>
    <w:rsid w:val="00A42F6C"/>
    <w:rsid w:val="00A4525B"/>
    <w:rsid w:val="00A46005"/>
    <w:rsid w:val="00A46A01"/>
    <w:rsid w:val="00A4749C"/>
    <w:rsid w:val="00A47ACA"/>
    <w:rsid w:val="00A50C58"/>
    <w:rsid w:val="00A5446B"/>
    <w:rsid w:val="00A73A69"/>
    <w:rsid w:val="00A74CAD"/>
    <w:rsid w:val="00A818BD"/>
    <w:rsid w:val="00A8342B"/>
    <w:rsid w:val="00A8353F"/>
    <w:rsid w:val="00A919F3"/>
    <w:rsid w:val="00A91F57"/>
    <w:rsid w:val="00A93974"/>
    <w:rsid w:val="00A9403E"/>
    <w:rsid w:val="00A97533"/>
    <w:rsid w:val="00A97C2E"/>
    <w:rsid w:val="00AA084B"/>
    <w:rsid w:val="00AA4998"/>
    <w:rsid w:val="00AA6A87"/>
    <w:rsid w:val="00AB42AD"/>
    <w:rsid w:val="00AB70AC"/>
    <w:rsid w:val="00AC1258"/>
    <w:rsid w:val="00AC196A"/>
    <w:rsid w:val="00AC1E62"/>
    <w:rsid w:val="00AC27C0"/>
    <w:rsid w:val="00AC2B39"/>
    <w:rsid w:val="00AC63FE"/>
    <w:rsid w:val="00AD0D38"/>
    <w:rsid w:val="00AD3C29"/>
    <w:rsid w:val="00AE2375"/>
    <w:rsid w:val="00AF2913"/>
    <w:rsid w:val="00AF2E9E"/>
    <w:rsid w:val="00B017B0"/>
    <w:rsid w:val="00B02E3B"/>
    <w:rsid w:val="00B06A4E"/>
    <w:rsid w:val="00B1290F"/>
    <w:rsid w:val="00B134D2"/>
    <w:rsid w:val="00B159B0"/>
    <w:rsid w:val="00B16B64"/>
    <w:rsid w:val="00B17BCF"/>
    <w:rsid w:val="00B20FE7"/>
    <w:rsid w:val="00B211BF"/>
    <w:rsid w:val="00B22F50"/>
    <w:rsid w:val="00B27270"/>
    <w:rsid w:val="00B277DE"/>
    <w:rsid w:val="00B3322F"/>
    <w:rsid w:val="00B33499"/>
    <w:rsid w:val="00B33F61"/>
    <w:rsid w:val="00B41D8F"/>
    <w:rsid w:val="00B421FF"/>
    <w:rsid w:val="00B42A25"/>
    <w:rsid w:val="00B4512B"/>
    <w:rsid w:val="00B50E86"/>
    <w:rsid w:val="00B53E4F"/>
    <w:rsid w:val="00B55B6A"/>
    <w:rsid w:val="00B577F0"/>
    <w:rsid w:val="00B613B3"/>
    <w:rsid w:val="00B61679"/>
    <w:rsid w:val="00B6496B"/>
    <w:rsid w:val="00B71121"/>
    <w:rsid w:val="00B7633C"/>
    <w:rsid w:val="00B80BA9"/>
    <w:rsid w:val="00B87A49"/>
    <w:rsid w:val="00B91F08"/>
    <w:rsid w:val="00B96980"/>
    <w:rsid w:val="00B97564"/>
    <w:rsid w:val="00BA1186"/>
    <w:rsid w:val="00BA197E"/>
    <w:rsid w:val="00BA283E"/>
    <w:rsid w:val="00BA6FE8"/>
    <w:rsid w:val="00BA7A5E"/>
    <w:rsid w:val="00BB7A6F"/>
    <w:rsid w:val="00BC0628"/>
    <w:rsid w:val="00BC23AB"/>
    <w:rsid w:val="00BC4910"/>
    <w:rsid w:val="00BC5A11"/>
    <w:rsid w:val="00BC5B75"/>
    <w:rsid w:val="00BD063C"/>
    <w:rsid w:val="00BD24F6"/>
    <w:rsid w:val="00BD4DBC"/>
    <w:rsid w:val="00BD5E25"/>
    <w:rsid w:val="00BD7FD4"/>
    <w:rsid w:val="00BE6F00"/>
    <w:rsid w:val="00BF1B19"/>
    <w:rsid w:val="00BF349F"/>
    <w:rsid w:val="00BF4E99"/>
    <w:rsid w:val="00BF65F5"/>
    <w:rsid w:val="00BF6C97"/>
    <w:rsid w:val="00C00314"/>
    <w:rsid w:val="00C0552C"/>
    <w:rsid w:val="00C06441"/>
    <w:rsid w:val="00C1208E"/>
    <w:rsid w:val="00C14C7D"/>
    <w:rsid w:val="00C172BD"/>
    <w:rsid w:val="00C23C0C"/>
    <w:rsid w:val="00C25B55"/>
    <w:rsid w:val="00C26195"/>
    <w:rsid w:val="00C302DF"/>
    <w:rsid w:val="00C31C3A"/>
    <w:rsid w:val="00C3342E"/>
    <w:rsid w:val="00C338A4"/>
    <w:rsid w:val="00C33A58"/>
    <w:rsid w:val="00C42218"/>
    <w:rsid w:val="00C426A2"/>
    <w:rsid w:val="00C52F4E"/>
    <w:rsid w:val="00C56321"/>
    <w:rsid w:val="00C6125D"/>
    <w:rsid w:val="00C65D1D"/>
    <w:rsid w:val="00C702AE"/>
    <w:rsid w:val="00C75600"/>
    <w:rsid w:val="00C76BF3"/>
    <w:rsid w:val="00C83D66"/>
    <w:rsid w:val="00C843C9"/>
    <w:rsid w:val="00C84F78"/>
    <w:rsid w:val="00C85126"/>
    <w:rsid w:val="00C92163"/>
    <w:rsid w:val="00C932DF"/>
    <w:rsid w:val="00C96BE3"/>
    <w:rsid w:val="00C96E54"/>
    <w:rsid w:val="00C97190"/>
    <w:rsid w:val="00C97A4A"/>
    <w:rsid w:val="00CA0E43"/>
    <w:rsid w:val="00CA2807"/>
    <w:rsid w:val="00CB152A"/>
    <w:rsid w:val="00CB1EDA"/>
    <w:rsid w:val="00CB51A6"/>
    <w:rsid w:val="00CB78C2"/>
    <w:rsid w:val="00CC1CAF"/>
    <w:rsid w:val="00CC24B2"/>
    <w:rsid w:val="00CC265B"/>
    <w:rsid w:val="00CC5F08"/>
    <w:rsid w:val="00CD0E28"/>
    <w:rsid w:val="00CD79AE"/>
    <w:rsid w:val="00CE49BA"/>
    <w:rsid w:val="00CE72E6"/>
    <w:rsid w:val="00CF2DA7"/>
    <w:rsid w:val="00CF3A59"/>
    <w:rsid w:val="00CF5E4C"/>
    <w:rsid w:val="00D00F17"/>
    <w:rsid w:val="00D0281F"/>
    <w:rsid w:val="00D04E45"/>
    <w:rsid w:val="00D05BB3"/>
    <w:rsid w:val="00D1053F"/>
    <w:rsid w:val="00D12948"/>
    <w:rsid w:val="00D13D47"/>
    <w:rsid w:val="00D16EC0"/>
    <w:rsid w:val="00D17CFD"/>
    <w:rsid w:val="00D22DA6"/>
    <w:rsid w:val="00D24D42"/>
    <w:rsid w:val="00D302F7"/>
    <w:rsid w:val="00D32741"/>
    <w:rsid w:val="00D360CB"/>
    <w:rsid w:val="00D42CA8"/>
    <w:rsid w:val="00D51920"/>
    <w:rsid w:val="00D55847"/>
    <w:rsid w:val="00D60CE2"/>
    <w:rsid w:val="00D61B32"/>
    <w:rsid w:val="00D643EA"/>
    <w:rsid w:val="00D706F9"/>
    <w:rsid w:val="00D73022"/>
    <w:rsid w:val="00D73E0D"/>
    <w:rsid w:val="00D75B8B"/>
    <w:rsid w:val="00D764E9"/>
    <w:rsid w:val="00D80EDE"/>
    <w:rsid w:val="00D82E82"/>
    <w:rsid w:val="00D866D6"/>
    <w:rsid w:val="00D8760C"/>
    <w:rsid w:val="00D9002A"/>
    <w:rsid w:val="00D90046"/>
    <w:rsid w:val="00D909C4"/>
    <w:rsid w:val="00D92CE8"/>
    <w:rsid w:val="00D94B11"/>
    <w:rsid w:val="00D95EC4"/>
    <w:rsid w:val="00D97258"/>
    <w:rsid w:val="00D976F8"/>
    <w:rsid w:val="00DA0AD9"/>
    <w:rsid w:val="00DA110D"/>
    <w:rsid w:val="00DA2A7C"/>
    <w:rsid w:val="00DA2E2B"/>
    <w:rsid w:val="00DB1463"/>
    <w:rsid w:val="00DB66AB"/>
    <w:rsid w:val="00DB6B9A"/>
    <w:rsid w:val="00DC3C70"/>
    <w:rsid w:val="00DC4154"/>
    <w:rsid w:val="00DC6125"/>
    <w:rsid w:val="00DD2ED5"/>
    <w:rsid w:val="00DD3580"/>
    <w:rsid w:val="00DD404D"/>
    <w:rsid w:val="00DD5C8F"/>
    <w:rsid w:val="00DD6D05"/>
    <w:rsid w:val="00DD7037"/>
    <w:rsid w:val="00DE04B4"/>
    <w:rsid w:val="00DE57FB"/>
    <w:rsid w:val="00DE5E29"/>
    <w:rsid w:val="00DE5FDE"/>
    <w:rsid w:val="00DE659B"/>
    <w:rsid w:val="00DE76D2"/>
    <w:rsid w:val="00DF05CB"/>
    <w:rsid w:val="00DF13AA"/>
    <w:rsid w:val="00DF1ADB"/>
    <w:rsid w:val="00DF1B00"/>
    <w:rsid w:val="00DF301B"/>
    <w:rsid w:val="00DF4517"/>
    <w:rsid w:val="00E00394"/>
    <w:rsid w:val="00E02AEE"/>
    <w:rsid w:val="00E04E53"/>
    <w:rsid w:val="00E0589D"/>
    <w:rsid w:val="00E11EF9"/>
    <w:rsid w:val="00E17641"/>
    <w:rsid w:val="00E201A7"/>
    <w:rsid w:val="00E207A8"/>
    <w:rsid w:val="00E2181F"/>
    <w:rsid w:val="00E23BF9"/>
    <w:rsid w:val="00E24098"/>
    <w:rsid w:val="00E244C0"/>
    <w:rsid w:val="00E25F5A"/>
    <w:rsid w:val="00E413FE"/>
    <w:rsid w:val="00E45B55"/>
    <w:rsid w:val="00E50BC3"/>
    <w:rsid w:val="00E5369C"/>
    <w:rsid w:val="00E54CB3"/>
    <w:rsid w:val="00E54D92"/>
    <w:rsid w:val="00E56208"/>
    <w:rsid w:val="00E57506"/>
    <w:rsid w:val="00E6090D"/>
    <w:rsid w:val="00E72FC1"/>
    <w:rsid w:val="00E74DE5"/>
    <w:rsid w:val="00E75D8F"/>
    <w:rsid w:val="00E75E63"/>
    <w:rsid w:val="00E774D0"/>
    <w:rsid w:val="00E7768E"/>
    <w:rsid w:val="00E84FF2"/>
    <w:rsid w:val="00E86165"/>
    <w:rsid w:val="00E87347"/>
    <w:rsid w:val="00E91017"/>
    <w:rsid w:val="00E9426B"/>
    <w:rsid w:val="00E94DAF"/>
    <w:rsid w:val="00E96040"/>
    <w:rsid w:val="00E979DB"/>
    <w:rsid w:val="00EA1ED9"/>
    <w:rsid w:val="00EA38F0"/>
    <w:rsid w:val="00EA4FEE"/>
    <w:rsid w:val="00EA67EB"/>
    <w:rsid w:val="00EB0F1C"/>
    <w:rsid w:val="00EB23EA"/>
    <w:rsid w:val="00EC0DD6"/>
    <w:rsid w:val="00EC1C43"/>
    <w:rsid w:val="00EC2166"/>
    <w:rsid w:val="00EC59B0"/>
    <w:rsid w:val="00EC6BCC"/>
    <w:rsid w:val="00EC71F1"/>
    <w:rsid w:val="00ED1E4A"/>
    <w:rsid w:val="00ED3542"/>
    <w:rsid w:val="00EE301E"/>
    <w:rsid w:val="00EE4857"/>
    <w:rsid w:val="00EE5873"/>
    <w:rsid w:val="00EF6472"/>
    <w:rsid w:val="00F02A88"/>
    <w:rsid w:val="00F10D8B"/>
    <w:rsid w:val="00F12508"/>
    <w:rsid w:val="00F14052"/>
    <w:rsid w:val="00F1498D"/>
    <w:rsid w:val="00F14EC4"/>
    <w:rsid w:val="00F201D2"/>
    <w:rsid w:val="00F21959"/>
    <w:rsid w:val="00F22774"/>
    <w:rsid w:val="00F22B8F"/>
    <w:rsid w:val="00F253C5"/>
    <w:rsid w:val="00F25833"/>
    <w:rsid w:val="00F259CC"/>
    <w:rsid w:val="00F26DAA"/>
    <w:rsid w:val="00F33C4E"/>
    <w:rsid w:val="00F36D5B"/>
    <w:rsid w:val="00F40484"/>
    <w:rsid w:val="00F473D9"/>
    <w:rsid w:val="00F523CC"/>
    <w:rsid w:val="00F5379A"/>
    <w:rsid w:val="00F5517C"/>
    <w:rsid w:val="00F55B53"/>
    <w:rsid w:val="00F56EA9"/>
    <w:rsid w:val="00F608AF"/>
    <w:rsid w:val="00F60D92"/>
    <w:rsid w:val="00F704A8"/>
    <w:rsid w:val="00F7225D"/>
    <w:rsid w:val="00F7327C"/>
    <w:rsid w:val="00F73C2B"/>
    <w:rsid w:val="00F73E54"/>
    <w:rsid w:val="00F75DF8"/>
    <w:rsid w:val="00F7667E"/>
    <w:rsid w:val="00F8446E"/>
    <w:rsid w:val="00F8452E"/>
    <w:rsid w:val="00F85088"/>
    <w:rsid w:val="00F854DB"/>
    <w:rsid w:val="00F90804"/>
    <w:rsid w:val="00F95F98"/>
    <w:rsid w:val="00F97B93"/>
    <w:rsid w:val="00FA40F8"/>
    <w:rsid w:val="00FA6CE8"/>
    <w:rsid w:val="00FB5B51"/>
    <w:rsid w:val="00FC0346"/>
    <w:rsid w:val="00FC0EF5"/>
    <w:rsid w:val="00FC10BB"/>
    <w:rsid w:val="00FC1211"/>
    <w:rsid w:val="00FC40C6"/>
    <w:rsid w:val="00FC7F92"/>
    <w:rsid w:val="00FD3983"/>
    <w:rsid w:val="00FD52CE"/>
    <w:rsid w:val="00FD76CE"/>
    <w:rsid w:val="00FE6756"/>
    <w:rsid w:val="00FE7529"/>
    <w:rsid w:val="00FE7FB7"/>
    <w:rsid w:val="00FF05C9"/>
    <w:rsid w:val="00FF21FC"/>
    <w:rsid w:val="00FF2F3A"/>
    <w:rsid w:val="00FF376B"/>
  </w:rsids>
  <m:mathPr>
    <m:mathFont m:val="Cambria Math"/>
    <m:brkBin m:val="before"/>
    <m:brkBinSub m:val="--"/>
    <m:smallFrac m:val="0"/>
    <m:dispDef/>
    <m:lMargin m:val="0"/>
    <m:rMargin m:val="0"/>
    <m:defJc m:val="centerGroup"/>
    <m:wrapIndent m:val="1440"/>
    <m:intLim m:val="subSup"/>
    <m:naryLim m:val="undOvr"/>
  </m:mathPr>
  <w:themeFontLang w:val="en-I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87A47"/>
  <w15:docId w15:val="{C64136C9-0126-4058-B7C8-E8391E9B6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C70"/>
    <w:pPr>
      <w:widowControl/>
      <w:autoSpaceDE/>
      <w:autoSpaceDN/>
    </w:pPr>
    <w:rPr>
      <w:rFonts w:ascii="Verdana" w:eastAsia="Times New Roman" w:hAnsi="Verdana" w:cs="Times New Roman"/>
      <w:sz w:val="18"/>
      <w:szCs w:val="18"/>
      <w:lang w:val="en-GB" w:eastAsia="zh-CN"/>
    </w:rPr>
  </w:style>
  <w:style w:type="paragraph" w:styleId="Heading1">
    <w:name w:val="heading 1"/>
    <w:basedOn w:val="ListParagraph"/>
    <w:uiPriority w:val="1"/>
    <w:qFormat/>
    <w:rsid w:val="00885C70"/>
    <w:pPr>
      <w:ind w:hanging="72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Body"/>
    <w:next w:val="Normal"/>
    <w:uiPriority w:val="39"/>
    <w:rsid w:val="00DA2E2B"/>
    <w:pPr>
      <w:numPr>
        <w:numId w:val="0"/>
      </w:numPr>
      <w:tabs>
        <w:tab w:val="clear" w:pos="1843"/>
        <w:tab w:val="clear" w:pos="3119"/>
        <w:tab w:val="clear" w:pos="4253"/>
        <w:tab w:val="left" w:pos="709"/>
        <w:tab w:val="right" w:leader="dot" w:pos="10065"/>
      </w:tabs>
      <w:spacing w:after="60"/>
      <w:ind w:left="142" w:right="65"/>
    </w:pPr>
    <w:rPr>
      <w:caps/>
      <w:noProof/>
    </w:rPr>
  </w:style>
  <w:style w:type="paragraph" w:styleId="BodyText">
    <w:name w:val="Body Text"/>
    <w:basedOn w:val="Normal"/>
    <w:link w:val="BodyTextChar"/>
    <w:uiPriority w:val="1"/>
    <w:qFormat/>
  </w:style>
  <w:style w:type="paragraph" w:styleId="ListParagraph">
    <w:name w:val="List Paragraph"/>
    <w:basedOn w:val="Normal"/>
    <w:uiPriority w:val="34"/>
    <w:rsid w:val="00885C70"/>
    <w:pPr>
      <w:ind w:left="720"/>
      <w:contextualSpacing/>
    </w:pPr>
  </w:style>
  <w:style w:type="paragraph" w:customStyle="1" w:styleId="TableParagraph">
    <w:name w:val="Table Paragraph"/>
    <w:basedOn w:val="Normal"/>
    <w:uiPriority w:val="1"/>
    <w:qFormat/>
    <w:pPr>
      <w:spacing w:before="1"/>
      <w:ind w:left="108"/>
    </w:pPr>
  </w:style>
  <w:style w:type="paragraph" w:styleId="BalloonText">
    <w:name w:val="Balloon Text"/>
    <w:basedOn w:val="Normal"/>
    <w:link w:val="BalloonTextChar"/>
    <w:uiPriority w:val="99"/>
    <w:semiHidden/>
    <w:unhideWhenUsed/>
    <w:rsid w:val="00453715"/>
    <w:rPr>
      <w:rFonts w:ascii="Segoe UI" w:hAnsi="Segoe UI" w:cs="Segoe UI"/>
    </w:rPr>
  </w:style>
  <w:style w:type="character" w:customStyle="1" w:styleId="BalloonTextChar">
    <w:name w:val="Balloon Text Char"/>
    <w:basedOn w:val="DefaultParagraphFont"/>
    <w:link w:val="BalloonText"/>
    <w:uiPriority w:val="99"/>
    <w:semiHidden/>
    <w:rsid w:val="00453715"/>
    <w:rPr>
      <w:rFonts w:ascii="Segoe UI" w:eastAsia="Verdana" w:hAnsi="Segoe UI" w:cs="Segoe UI"/>
      <w:sz w:val="18"/>
      <w:szCs w:val="18"/>
      <w:lang w:bidi="en-US"/>
    </w:rPr>
  </w:style>
  <w:style w:type="paragraph" w:styleId="NormalWeb">
    <w:name w:val="Normal (Web)"/>
    <w:basedOn w:val="Normal"/>
    <w:uiPriority w:val="99"/>
    <w:semiHidden/>
    <w:unhideWhenUsed/>
    <w:rsid w:val="00E17641"/>
    <w:pPr>
      <w:spacing w:before="100" w:beforeAutospacing="1" w:after="100" w:afterAutospacing="1"/>
    </w:pPr>
    <w:rPr>
      <w:rFonts w:ascii="Times New Roman" w:hAnsi="Times New Roman"/>
      <w:sz w:val="24"/>
      <w:szCs w:val="24"/>
    </w:rPr>
  </w:style>
  <w:style w:type="table" w:styleId="TableGrid">
    <w:name w:val="Table Grid"/>
    <w:basedOn w:val="TableNormal"/>
    <w:uiPriority w:val="39"/>
    <w:rsid w:val="008F6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85C70"/>
    <w:pPr>
      <w:tabs>
        <w:tab w:val="center" w:pos="4536"/>
        <w:tab w:val="right" w:pos="9072"/>
      </w:tabs>
    </w:pPr>
    <w:rPr>
      <w:noProof/>
      <w:sz w:val="14"/>
    </w:rPr>
  </w:style>
  <w:style w:type="character" w:customStyle="1" w:styleId="HeaderChar">
    <w:name w:val="Header Char"/>
    <w:basedOn w:val="DefaultParagraphFont"/>
    <w:link w:val="Header"/>
    <w:rsid w:val="00885C70"/>
    <w:rPr>
      <w:rFonts w:ascii="Verdana" w:eastAsia="Times New Roman" w:hAnsi="Verdana" w:cs="Times New Roman"/>
      <w:noProof/>
      <w:sz w:val="14"/>
      <w:szCs w:val="18"/>
      <w:lang w:val="en-GB" w:eastAsia="zh-CN"/>
    </w:rPr>
  </w:style>
  <w:style w:type="paragraph" w:styleId="Footer">
    <w:name w:val="footer"/>
    <w:basedOn w:val="Normal"/>
    <w:link w:val="FooterChar"/>
    <w:rsid w:val="00885C70"/>
    <w:pPr>
      <w:tabs>
        <w:tab w:val="right" w:pos="9072"/>
      </w:tabs>
    </w:pPr>
    <w:rPr>
      <w:noProof/>
      <w:sz w:val="14"/>
    </w:rPr>
  </w:style>
  <w:style w:type="character" w:customStyle="1" w:styleId="FooterChar">
    <w:name w:val="Footer Char"/>
    <w:basedOn w:val="DefaultParagraphFont"/>
    <w:link w:val="Footer"/>
    <w:rsid w:val="00885C70"/>
    <w:rPr>
      <w:rFonts w:ascii="Verdana" w:eastAsia="Times New Roman" w:hAnsi="Verdana" w:cs="Times New Roman"/>
      <w:noProof/>
      <w:sz w:val="14"/>
      <w:szCs w:val="18"/>
      <w:lang w:val="en-GB" w:eastAsia="zh-CN"/>
    </w:rPr>
  </w:style>
  <w:style w:type="character" w:customStyle="1" w:styleId="BodyTextChar">
    <w:name w:val="Body Text Char"/>
    <w:basedOn w:val="DefaultParagraphFont"/>
    <w:link w:val="BodyText"/>
    <w:uiPriority w:val="1"/>
    <w:rsid w:val="00951DF1"/>
    <w:rPr>
      <w:rFonts w:ascii="Verdana" w:eastAsia="Verdana" w:hAnsi="Verdana" w:cs="Verdana"/>
      <w:sz w:val="18"/>
      <w:szCs w:val="18"/>
      <w:lang w:bidi="en-US"/>
    </w:rPr>
  </w:style>
  <w:style w:type="character" w:styleId="CommentReference">
    <w:name w:val="annotation reference"/>
    <w:basedOn w:val="DefaultParagraphFont"/>
    <w:uiPriority w:val="99"/>
    <w:semiHidden/>
    <w:unhideWhenUsed/>
    <w:rsid w:val="00416E23"/>
    <w:rPr>
      <w:sz w:val="16"/>
      <w:szCs w:val="16"/>
    </w:rPr>
  </w:style>
  <w:style w:type="paragraph" w:styleId="CommentText">
    <w:name w:val="annotation text"/>
    <w:basedOn w:val="Normal"/>
    <w:link w:val="CommentTextChar"/>
    <w:uiPriority w:val="99"/>
    <w:unhideWhenUsed/>
    <w:rsid w:val="00416E23"/>
    <w:rPr>
      <w:sz w:val="20"/>
      <w:szCs w:val="20"/>
    </w:rPr>
  </w:style>
  <w:style w:type="character" w:customStyle="1" w:styleId="CommentTextChar">
    <w:name w:val="Comment Text Char"/>
    <w:basedOn w:val="DefaultParagraphFont"/>
    <w:link w:val="CommentText"/>
    <w:uiPriority w:val="99"/>
    <w:rsid w:val="00416E23"/>
    <w:rPr>
      <w:rFonts w:ascii="Verdana" w:eastAsia="Verdana" w:hAnsi="Verdana" w:cs="Verdana"/>
      <w:sz w:val="20"/>
      <w:szCs w:val="20"/>
      <w:lang w:bidi="en-US"/>
    </w:rPr>
  </w:style>
  <w:style w:type="paragraph" w:styleId="CommentSubject">
    <w:name w:val="annotation subject"/>
    <w:basedOn w:val="CommentText"/>
    <w:next w:val="CommentText"/>
    <w:link w:val="CommentSubjectChar"/>
    <w:uiPriority w:val="99"/>
    <w:semiHidden/>
    <w:unhideWhenUsed/>
    <w:rsid w:val="00416E23"/>
    <w:rPr>
      <w:b/>
      <w:bCs/>
    </w:rPr>
  </w:style>
  <w:style w:type="character" w:customStyle="1" w:styleId="CommentSubjectChar">
    <w:name w:val="Comment Subject Char"/>
    <w:basedOn w:val="CommentTextChar"/>
    <w:link w:val="CommentSubject"/>
    <w:uiPriority w:val="99"/>
    <w:semiHidden/>
    <w:rsid w:val="00416E23"/>
    <w:rPr>
      <w:rFonts w:ascii="Verdana" w:eastAsia="Verdana" w:hAnsi="Verdana" w:cs="Verdana"/>
      <w:b/>
      <w:bCs/>
      <w:sz w:val="20"/>
      <w:szCs w:val="20"/>
      <w:lang w:bidi="en-US"/>
    </w:rPr>
  </w:style>
  <w:style w:type="paragraph" w:styleId="Revision">
    <w:name w:val="Revision"/>
    <w:hidden/>
    <w:uiPriority w:val="99"/>
    <w:semiHidden/>
    <w:rsid w:val="00776C9A"/>
    <w:pPr>
      <w:widowControl/>
      <w:autoSpaceDE/>
      <w:autoSpaceDN/>
    </w:pPr>
    <w:rPr>
      <w:rFonts w:ascii="Verdana" w:eastAsia="Verdana" w:hAnsi="Verdana" w:cs="Verdana"/>
      <w:lang w:bidi="en-US"/>
    </w:rPr>
  </w:style>
  <w:style w:type="paragraph" w:customStyle="1" w:styleId="L1Para">
    <w:name w:val="L1Para"/>
    <w:basedOn w:val="Normal"/>
    <w:next w:val="Normal"/>
    <w:uiPriority w:val="2"/>
    <w:qFormat/>
    <w:rsid w:val="0064324C"/>
    <w:pPr>
      <w:ind w:left="720"/>
      <w:jc w:val="both"/>
    </w:pPr>
  </w:style>
  <w:style w:type="character" w:customStyle="1" w:styleId="ssPara1Char">
    <w:name w:val="ssPara1 Char"/>
    <w:basedOn w:val="DefaultParagraphFont"/>
    <w:link w:val="ssPara1"/>
    <w:uiPriority w:val="99"/>
    <w:locked/>
    <w:rsid w:val="00BA1186"/>
    <w:rPr>
      <w:rFonts w:ascii="Arial" w:hAnsi="Arial" w:cs="Arial"/>
    </w:rPr>
  </w:style>
  <w:style w:type="paragraph" w:customStyle="1" w:styleId="ssPara1">
    <w:name w:val="ssPara1"/>
    <w:basedOn w:val="Normal"/>
    <w:link w:val="ssPara1Char"/>
    <w:uiPriority w:val="99"/>
    <w:rsid w:val="00BA1186"/>
    <w:pPr>
      <w:spacing w:after="260"/>
      <w:jc w:val="both"/>
    </w:pPr>
    <w:rPr>
      <w:rFonts w:ascii="Arial" w:eastAsiaTheme="minorEastAsia" w:hAnsi="Arial" w:cs="Arial"/>
    </w:rPr>
  </w:style>
  <w:style w:type="paragraph" w:styleId="TOCHeading">
    <w:name w:val="TOC Heading"/>
    <w:basedOn w:val="Heading1"/>
    <w:next w:val="Normal"/>
    <w:uiPriority w:val="39"/>
    <w:unhideWhenUsed/>
    <w:qFormat/>
    <w:rsid w:val="002F1C82"/>
    <w:pPr>
      <w:keepNext/>
      <w:keepLines/>
      <w:spacing w:before="240" w:line="259" w:lineRule="auto"/>
      <w:ind w:left="0"/>
      <w:outlineLvl w:val="9"/>
    </w:pPr>
    <w:rPr>
      <w:rFonts w:asciiTheme="majorHAnsi" w:eastAsiaTheme="majorEastAsia" w:hAnsiTheme="majorHAnsi" w:cstheme="majorBidi"/>
      <w:b/>
      <w:bCs/>
      <w:color w:val="365F91" w:themeColor="accent1" w:themeShade="BF"/>
      <w:sz w:val="32"/>
      <w:szCs w:val="32"/>
    </w:rPr>
  </w:style>
  <w:style w:type="paragraph" w:customStyle="1" w:styleId="DecimalAligned">
    <w:name w:val="Decimal Aligned"/>
    <w:basedOn w:val="Normal"/>
    <w:uiPriority w:val="40"/>
    <w:qFormat/>
    <w:rsid w:val="000C19EB"/>
    <w:pPr>
      <w:tabs>
        <w:tab w:val="decimal" w:pos="360"/>
      </w:tabs>
      <w:spacing w:after="200" w:line="276" w:lineRule="auto"/>
    </w:pPr>
    <w:rPr>
      <w:rFonts w:asciiTheme="minorHAnsi" w:eastAsiaTheme="minorEastAsia" w:hAnsiTheme="minorHAnsi"/>
    </w:rPr>
  </w:style>
  <w:style w:type="character" w:styleId="SubtleEmphasis">
    <w:name w:val="Subtle Emphasis"/>
    <w:basedOn w:val="DefaultParagraphFont"/>
    <w:uiPriority w:val="19"/>
    <w:qFormat/>
    <w:rsid w:val="000C19EB"/>
    <w:rPr>
      <w:i/>
      <w:iCs/>
    </w:rPr>
  </w:style>
  <w:style w:type="table" w:styleId="MediumShading2-Accent5">
    <w:name w:val="Medium Shading 2 Accent 5"/>
    <w:basedOn w:val="TableNormal"/>
    <w:uiPriority w:val="64"/>
    <w:rsid w:val="000C19EB"/>
    <w:pPr>
      <w:widowControl/>
      <w:autoSpaceDE/>
      <w:autoSpaceDN/>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Body">
    <w:name w:val="Body"/>
    <w:basedOn w:val="Normal"/>
    <w:qFormat/>
    <w:rsid w:val="00885C70"/>
    <w:pPr>
      <w:numPr>
        <w:numId w:val="11"/>
      </w:numPr>
      <w:tabs>
        <w:tab w:val="left" w:pos="1843"/>
        <w:tab w:val="left" w:pos="3119"/>
        <w:tab w:val="left" w:pos="4253"/>
      </w:tabs>
      <w:spacing w:after="240"/>
    </w:pPr>
  </w:style>
  <w:style w:type="paragraph" w:customStyle="1" w:styleId="aDefinition">
    <w:name w:val="(a) Definition"/>
    <w:basedOn w:val="Body"/>
    <w:qFormat/>
    <w:rsid w:val="00885C70"/>
    <w:pPr>
      <w:numPr>
        <w:ilvl w:val="1"/>
      </w:numPr>
      <w:tabs>
        <w:tab w:val="clear" w:pos="1843"/>
        <w:tab w:val="clear" w:pos="3119"/>
        <w:tab w:val="clear" w:pos="4253"/>
      </w:tabs>
    </w:pPr>
  </w:style>
  <w:style w:type="paragraph" w:customStyle="1" w:styleId="iDefinition">
    <w:name w:val="(i) Definition"/>
    <w:basedOn w:val="Body"/>
    <w:qFormat/>
    <w:rsid w:val="00885C70"/>
    <w:pPr>
      <w:numPr>
        <w:ilvl w:val="2"/>
      </w:numPr>
      <w:tabs>
        <w:tab w:val="clear" w:pos="1843"/>
        <w:tab w:val="clear" w:pos="3119"/>
        <w:tab w:val="clear" w:pos="4253"/>
      </w:tabs>
    </w:pPr>
  </w:style>
  <w:style w:type="paragraph" w:customStyle="1" w:styleId="Body1">
    <w:name w:val="Body 1"/>
    <w:basedOn w:val="Body"/>
    <w:qFormat/>
    <w:rsid w:val="00885C70"/>
    <w:pPr>
      <w:tabs>
        <w:tab w:val="clear" w:pos="1843"/>
        <w:tab w:val="clear" w:pos="3119"/>
        <w:tab w:val="clear" w:pos="4253"/>
      </w:tabs>
      <w:ind w:left="851"/>
    </w:pPr>
  </w:style>
  <w:style w:type="paragraph" w:customStyle="1" w:styleId="Background">
    <w:name w:val="Background"/>
    <w:basedOn w:val="Body1"/>
    <w:qFormat/>
    <w:rsid w:val="00885C70"/>
    <w:pPr>
      <w:numPr>
        <w:numId w:val="6"/>
      </w:numPr>
    </w:pPr>
  </w:style>
  <w:style w:type="paragraph" w:customStyle="1" w:styleId="Body2">
    <w:name w:val="Body 2"/>
    <w:basedOn w:val="Body1"/>
    <w:qFormat/>
    <w:rsid w:val="00885C70"/>
  </w:style>
  <w:style w:type="paragraph" w:customStyle="1" w:styleId="Body3">
    <w:name w:val="Body 3"/>
    <w:basedOn w:val="Body2"/>
    <w:qFormat/>
    <w:rsid w:val="00885C70"/>
    <w:pPr>
      <w:ind w:left="1843"/>
    </w:pPr>
  </w:style>
  <w:style w:type="paragraph" w:customStyle="1" w:styleId="Body4">
    <w:name w:val="Body 4"/>
    <w:basedOn w:val="Body3"/>
    <w:qFormat/>
    <w:rsid w:val="00885C70"/>
    <w:pPr>
      <w:ind w:left="3119"/>
    </w:pPr>
  </w:style>
  <w:style w:type="paragraph" w:customStyle="1" w:styleId="Body5">
    <w:name w:val="Body 5"/>
    <w:basedOn w:val="Body3"/>
    <w:qFormat/>
    <w:rsid w:val="00885C70"/>
    <w:pPr>
      <w:ind w:left="3119"/>
    </w:pPr>
  </w:style>
  <w:style w:type="paragraph" w:customStyle="1" w:styleId="Bullet1">
    <w:name w:val="Bullet 1"/>
    <w:basedOn w:val="Body1"/>
    <w:qFormat/>
    <w:rsid w:val="00885C70"/>
    <w:pPr>
      <w:numPr>
        <w:numId w:val="7"/>
      </w:numPr>
    </w:pPr>
  </w:style>
  <w:style w:type="paragraph" w:customStyle="1" w:styleId="Bullet2">
    <w:name w:val="Bullet 2"/>
    <w:basedOn w:val="Body2"/>
    <w:qFormat/>
    <w:rsid w:val="00885C70"/>
    <w:pPr>
      <w:numPr>
        <w:ilvl w:val="1"/>
        <w:numId w:val="7"/>
      </w:numPr>
    </w:pPr>
  </w:style>
  <w:style w:type="paragraph" w:customStyle="1" w:styleId="Bullet3">
    <w:name w:val="Bullet 3"/>
    <w:basedOn w:val="Body3"/>
    <w:qFormat/>
    <w:rsid w:val="00885C70"/>
    <w:pPr>
      <w:numPr>
        <w:ilvl w:val="2"/>
        <w:numId w:val="7"/>
      </w:numPr>
    </w:pPr>
  </w:style>
  <w:style w:type="character" w:customStyle="1" w:styleId="CrossReference">
    <w:name w:val="Cross Reference"/>
    <w:basedOn w:val="DefaultParagraphFont"/>
    <w:qFormat/>
    <w:rsid w:val="00885C70"/>
    <w:rPr>
      <w:b/>
    </w:rPr>
  </w:style>
  <w:style w:type="character" w:styleId="FootnoteReference">
    <w:name w:val="footnote reference"/>
    <w:basedOn w:val="DefaultParagraphFont"/>
    <w:semiHidden/>
    <w:rsid w:val="00885C70"/>
    <w:rPr>
      <w:rFonts w:ascii="Tahoma" w:hAnsi="Tahoma"/>
      <w:b/>
      <w:color w:val="auto"/>
      <w:sz w:val="20"/>
      <w:u w:val="none"/>
      <w:vertAlign w:val="superscript"/>
    </w:rPr>
  </w:style>
  <w:style w:type="paragraph" w:styleId="FootnoteText">
    <w:name w:val="footnote text"/>
    <w:basedOn w:val="Normal"/>
    <w:link w:val="FootnoteTextChar"/>
    <w:semiHidden/>
    <w:rsid w:val="00885C70"/>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semiHidden/>
    <w:rsid w:val="00885C70"/>
    <w:rPr>
      <w:rFonts w:ascii="Tahoma" w:eastAsia="Times New Roman" w:hAnsi="Tahoma" w:cs="Times New Roman"/>
      <w:sz w:val="16"/>
      <w:szCs w:val="18"/>
      <w:lang w:val="en-GB" w:eastAsia="zh-CN"/>
    </w:rPr>
  </w:style>
  <w:style w:type="paragraph" w:customStyle="1" w:styleId="Level1">
    <w:name w:val="Level 1"/>
    <w:basedOn w:val="Body1"/>
    <w:qFormat/>
    <w:rsid w:val="00885C70"/>
    <w:pPr>
      <w:numPr>
        <w:numId w:val="8"/>
      </w:numPr>
      <w:outlineLvl w:val="0"/>
    </w:pPr>
  </w:style>
  <w:style w:type="character" w:customStyle="1" w:styleId="Level1asHeadingtext">
    <w:name w:val="Level 1 as Heading (text)"/>
    <w:basedOn w:val="DefaultParagraphFont"/>
    <w:rsid w:val="00885C70"/>
    <w:rPr>
      <w:b/>
    </w:rPr>
  </w:style>
  <w:style w:type="paragraph" w:customStyle="1" w:styleId="Level2">
    <w:name w:val="Level 2"/>
    <w:basedOn w:val="Body2"/>
    <w:qFormat/>
    <w:rsid w:val="00885C70"/>
    <w:pPr>
      <w:numPr>
        <w:ilvl w:val="1"/>
        <w:numId w:val="8"/>
      </w:numPr>
      <w:outlineLvl w:val="1"/>
    </w:pPr>
  </w:style>
  <w:style w:type="character" w:customStyle="1" w:styleId="Level2asHeadingtext">
    <w:name w:val="Level 2 as Heading (text)"/>
    <w:basedOn w:val="DefaultParagraphFont"/>
    <w:rsid w:val="00885C70"/>
    <w:rPr>
      <w:b/>
    </w:rPr>
  </w:style>
  <w:style w:type="paragraph" w:customStyle="1" w:styleId="Level3">
    <w:name w:val="Level 3"/>
    <w:basedOn w:val="Body3"/>
    <w:qFormat/>
    <w:rsid w:val="00885C70"/>
    <w:pPr>
      <w:numPr>
        <w:ilvl w:val="2"/>
        <w:numId w:val="8"/>
      </w:numPr>
      <w:outlineLvl w:val="2"/>
    </w:pPr>
  </w:style>
  <w:style w:type="character" w:customStyle="1" w:styleId="Level3asHeadingtext">
    <w:name w:val="Level 3 as Heading (text)"/>
    <w:basedOn w:val="DefaultParagraphFont"/>
    <w:rsid w:val="00885C70"/>
    <w:rPr>
      <w:b/>
    </w:rPr>
  </w:style>
  <w:style w:type="paragraph" w:customStyle="1" w:styleId="Level4">
    <w:name w:val="Level 4"/>
    <w:basedOn w:val="Body4"/>
    <w:qFormat/>
    <w:rsid w:val="00885C70"/>
    <w:pPr>
      <w:numPr>
        <w:ilvl w:val="3"/>
        <w:numId w:val="8"/>
      </w:numPr>
      <w:outlineLvl w:val="3"/>
    </w:pPr>
  </w:style>
  <w:style w:type="paragraph" w:customStyle="1" w:styleId="Level5">
    <w:name w:val="Level 5"/>
    <w:basedOn w:val="Body5"/>
    <w:qFormat/>
    <w:rsid w:val="00885C70"/>
    <w:pPr>
      <w:numPr>
        <w:ilvl w:val="4"/>
        <w:numId w:val="8"/>
      </w:numPr>
      <w:outlineLvl w:val="4"/>
    </w:pPr>
  </w:style>
  <w:style w:type="character" w:styleId="PageNumber">
    <w:name w:val="page number"/>
    <w:basedOn w:val="DefaultParagraphFont"/>
    <w:semiHidden/>
    <w:rsid w:val="00885C70"/>
    <w:rPr>
      <w:sz w:val="14"/>
    </w:rPr>
  </w:style>
  <w:style w:type="paragraph" w:customStyle="1" w:styleId="Parties">
    <w:name w:val="Parties"/>
    <w:basedOn w:val="Body1"/>
    <w:qFormat/>
    <w:rsid w:val="00885C70"/>
    <w:pPr>
      <w:numPr>
        <w:numId w:val="9"/>
      </w:numPr>
    </w:pPr>
  </w:style>
  <w:style w:type="paragraph" w:customStyle="1" w:styleId="Schedule">
    <w:name w:val="Schedule"/>
    <w:basedOn w:val="Normal"/>
    <w:semiHidden/>
    <w:rsid w:val="00885C70"/>
    <w:pPr>
      <w:keepNext/>
      <w:numPr>
        <w:numId w:val="14"/>
      </w:numPr>
      <w:spacing w:after="240"/>
      <w:jc w:val="center"/>
    </w:pPr>
    <w:rPr>
      <w:b/>
      <w:caps/>
      <w:sz w:val="24"/>
    </w:rPr>
  </w:style>
  <w:style w:type="paragraph" w:customStyle="1" w:styleId="ScheduleTitle">
    <w:name w:val="Schedule Title"/>
    <w:basedOn w:val="Body"/>
    <w:qFormat/>
    <w:rsid w:val="00885C70"/>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885C70"/>
    <w:pPr>
      <w:numPr>
        <w:numId w:val="10"/>
      </w:numPr>
      <w:tabs>
        <w:tab w:val="clear" w:pos="3119"/>
        <w:tab w:val="clear" w:pos="4253"/>
        <w:tab w:val="left" w:pos="1843"/>
      </w:tabs>
    </w:pPr>
  </w:style>
  <w:style w:type="paragraph" w:customStyle="1" w:styleId="Sideheading">
    <w:name w:val="Sideheading"/>
    <w:basedOn w:val="Body"/>
    <w:qFormat/>
    <w:rsid w:val="00885C70"/>
    <w:pPr>
      <w:tabs>
        <w:tab w:val="clear" w:pos="1843"/>
        <w:tab w:val="clear" w:pos="3119"/>
        <w:tab w:val="clear" w:pos="4253"/>
      </w:tabs>
    </w:pPr>
    <w:rPr>
      <w:b/>
      <w:caps/>
    </w:rPr>
  </w:style>
  <w:style w:type="paragraph" w:customStyle="1" w:styleId="iBankingDefinition">
    <w:name w:val="(i) Banking Definition"/>
    <w:basedOn w:val="aBankingDefinition"/>
    <w:qFormat/>
    <w:rsid w:val="00885C70"/>
    <w:pPr>
      <w:numPr>
        <w:ilvl w:val="1"/>
      </w:numPr>
    </w:pPr>
  </w:style>
  <w:style w:type="paragraph" w:styleId="TOC2">
    <w:name w:val="toc 2"/>
    <w:basedOn w:val="TOC1"/>
    <w:next w:val="Normal"/>
    <w:rsid w:val="00885C70"/>
    <w:pPr>
      <w:tabs>
        <w:tab w:val="left" w:pos="1680"/>
      </w:tabs>
      <w:ind w:left="1679" w:hanging="828"/>
    </w:pPr>
    <w:rPr>
      <w:caps w:val="0"/>
    </w:rPr>
  </w:style>
  <w:style w:type="paragraph" w:styleId="TOC3">
    <w:name w:val="toc 3"/>
    <w:basedOn w:val="TOC1"/>
    <w:next w:val="Normal"/>
    <w:rsid w:val="00885C70"/>
    <w:rPr>
      <w:caps w:val="0"/>
    </w:rPr>
  </w:style>
  <w:style w:type="paragraph" w:styleId="TOC4">
    <w:name w:val="toc 4"/>
    <w:basedOn w:val="TOC1"/>
    <w:next w:val="Normal"/>
    <w:rsid w:val="00885C70"/>
    <w:pPr>
      <w:keepNext/>
    </w:pPr>
    <w:rPr>
      <w:b/>
      <w:caps w:val="0"/>
    </w:rPr>
  </w:style>
  <w:style w:type="paragraph" w:styleId="TOC5">
    <w:name w:val="toc 5"/>
    <w:basedOn w:val="TOC1"/>
    <w:next w:val="Normal"/>
    <w:semiHidden/>
    <w:rsid w:val="00885C70"/>
    <w:rPr>
      <w:caps w:val="0"/>
    </w:rPr>
  </w:style>
  <w:style w:type="paragraph" w:styleId="TOC6">
    <w:name w:val="toc 6"/>
    <w:basedOn w:val="TOC1"/>
    <w:next w:val="Normal"/>
    <w:semiHidden/>
    <w:rsid w:val="00885C70"/>
    <w:pPr>
      <w:ind w:left="2835" w:hanging="1134"/>
    </w:pPr>
    <w:rPr>
      <w:caps w:val="0"/>
    </w:rPr>
  </w:style>
  <w:style w:type="paragraph" w:customStyle="1" w:styleId="FootnoteTextContinuation">
    <w:name w:val="Footnote Text Continuation"/>
    <w:basedOn w:val="FootnoteText"/>
    <w:rsid w:val="00885C70"/>
    <w:pPr>
      <w:ind w:firstLine="0"/>
    </w:pPr>
  </w:style>
  <w:style w:type="paragraph" w:customStyle="1" w:styleId="Part">
    <w:name w:val="Part"/>
    <w:basedOn w:val="Normal"/>
    <w:qFormat/>
    <w:rsid w:val="00885C70"/>
    <w:pPr>
      <w:numPr>
        <w:numId w:val="13"/>
      </w:numPr>
      <w:spacing w:after="240"/>
    </w:pPr>
    <w:rPr>
      <w:b/>
    </w:rPr>
  </w:style>
  <w:style w:type="paragraph" w:customStyle="1" w:styleId="abcdDefinition">
    <w:name w:val="(a) (b) (c) (d) Definition"/>
    <w:basedOn w:val="aDefinition"/>
    <w:rsid w:val="00885C70"/>
    <w:pPr>
      <w:numPr>
        <w:ilvl w:val="0"/>
        <w:numId w:val="5"/>
      </w:numPr>
      <w:tabs>
        <w:tab w:val="left" w:pos="851"/>
      </w:tabs>
    </w:pPr>
  </w:style>
  <w:style w:type="paragraph" w:customStyle="1" w:styleId="Contentheading">
    <w:name w:val="Content heading"/>
    <w:basedOn w:val="Normal"/>
    <w:next w:val="Body"/>
    <w:rsid w:val="00885C70"/>
    <w:pPr>
      <w:pageBreakBefore/>
      <w:framePr w:w="9072" w:vSpace="142" w:wrap="notBeside" w:vAnchor="text" w:hAnchor="text" w:y="7"/>
      <w:pBdr>
        <w:bottom w:val="single" w:sz="4" w:space="1" w:color="auto"/>
      </w:pBdr>
      <w:spacing w:after="2200"/>
    </w:pPr>
    <w:rPr>
      <w:sz w:val="40"/>
      <w:szCs w:val="40"/>
    </w:rPr>
  </w:style>
  <w:style w:type="paragraph" w:customStyle="1" w:styleId="Contentpage">
    <w:name w:val="Content page"/>
    <w:basedOn w:val="Body"/>
    <w:rsid w:val="00885C70"/>
    <w:pPr>
      <w:tabs>
        <w:tab w:val="clear" w:pos="1843"/>
        <w:tab w:val="clear" w:pos="3119"/>
        <w:tab w:val="clear" w:pos="4253"/>
        <w:tab w:val="right" w:pos="9072"/>
      </w:tabs>
    </w:pPr>
    <w:rPr>
      <w:b/>
    </w:rPr>
  </w:style>
  <w:style w:type="paragraph" w:customStyle="1" w:styleId="ExtraInfo">
    <w:name w:val="ExtraInfo"/>
    <w:basedOn w:val="Normal"/>
    <w:rsid w:val="00885C70"/>
    <w:pPr>
      <w:framePr w:w="2206" w:h="919" w:hSpace="181" w:wrap="around" w:vAnchor="page" w:hAnchor="page" w:x="9385" w:y="211"/>
      <w:shd w:val="clear" w:color="auto" w:fill="FFFFFF"/>
    </w:pPr>
    <w:rPr>
      <w:sz w:val="14"/>
      <w:szCs w:val="14"/>
    </w:rPr>
  </w:style>
  <w:style w:type="paragraph" w:customStyle="1" w:styleId="Level6">
    <w:name w:val="Level 6"/>
    <w:basedOn w:val="Level5"/>
    <w:rsid w:val="00885C70"/>
    <w:pPr>
      <w:numPr>
        <w:ilvl w:val="5"/>
      </w:numPr>
    </w:pPr>
  </w:style>
  <w:style w:type="paragraph" w:customStyle="1" w:styleId="Body6">
    <w:name w:val="Body 6"/>
    <w:basedOn w:val="Body5"/>
    <w:rsid w:val="00885C70"/>
    <w:pPr>
      <w:ind w:left="3686"/>
    </w:pPr>
  </w:style>
  <w:style w:type="paragraph" w:customStyle="1" w:styleId="Level7">
    <w:name w:val="Level 7"/>
    <w:basedOn w:val="Body7"/>
    <w:rsid w:val="00885C70"/>
    <w:pPr>
      <w:numPr>
        <w:ilvl w:val="6"/>
        <w:numId w:val="8"/>
      </w:numPr>
    </w:pPr>
  </w:style>
  <w:style w:type="paragraph" w:customStyle="1" w:styleId="Body7">
    <w:name w:val="Body 7"/>
    <w:basedOn w:val="Body6"/>
    <w:rsid w:val="00885C70"/>
    <w:pPr>
      <w:ind w:left="4253"/>
    </w:pPr>
  </w:style>
  <w:style w:type="paragraph" w:customStyle="1" w:styleId="PartBanking">
    <w:name w:val="Part (Banking)"/>
    <w:basedOn w:val="Body"/>
    <w:rsid w:val="00885C70"/>
    <w:pPr>
      <w:numPr>
        <w:numId w:val="12"/>
      </w:numPr>
      <w:jc w:val="center"/>
    </w:pPr>
    <w:rPr>
      <w:b/>
    </w:rPr>
  </w:style>
  <w:style w:type="paragraph" w:customStyle="1" w:styleId="Section">
    <w:name w:val="Section"/>
    <w:basedOn w:val="Normal"/>
    <w:next w:val="Body"/>
    <w:rsid w:val="00885C70"/>
    <w:pPr>
      <w:numPr>
        <w:numId w:val="15"/>
      </w:numPr>
      <w:spacing w:line="480" w:lineRule="auto"/>
      <w:jc w:val="center"/>
    </w:pPr>
    <w:rPr>
      <w:b/>
    </w:rPr>
  </w:style>
  <w:style w:type="paragraph" w:customStyle="1" w:styleId="FooterReference">
    <w:name w:val="Footer Reference"/>
    <w:basedOn w:val="Footer"/>
    <w:link w:val="FooterReferenceChar"/>
    <w:semiHidden/>
    <w:rsid w:val="007E3E3B"/>
    <w:pPr>
      <w:spacing w:before="1"/>
      <w:ind w:left="457" w:right="479"/>
    </w:pPr>
    <w:rPr>
      <w:rFonts w:ascii="Times New Roman" w:hAnsi="Times New Roman"/>
      <w:sz w:val="16"/>
    </w:rPr>
  </w:style>
  <w:style w:type="character" w:customStyle="1" w:styleId="FooterReferenceChar">
    <w:name w:val="Footer Reference Char"/>
    <w:basedOn w:val="DefaultParagraphFont"/>
    <w:link w:val="FooterReference"/>
    <w:semiHidden/>
    <w:rsid w:val="007E3E3B"/>
    <w:rPr>
      <w:rFonts w:ascii="Times New Roman" w:eastAsia="Times New Roman" w:hAnsi="Times New Roman" w:cs="Times New Roman"/>
      <w:noProof/>
      <w:sz w:val="16"/>
      <w:szCs w:val="18"/>
      <w:lang w:val="en-GB" w:eastAsia="zh-CN"/>
    </w:rPr>
  </w:style>
  <w:style w:type="paragraph" w:customStyle="1" w:styleId="Header1">
    <w:name w:val="Header_1"/>
    <w:uiPriority w:val="99"/>
    <w:rsid w:val="006C3A39"/>
    <w:pPr>
      <w:widowControl/>
      <w:tabs>
        <w:tab w:val="center" w:pos="4536"/>
        <w:tab w:val="right" w:pos="9072"/>
      </w:tabs>
      <w:autoSpaceDE/>
      <w:autoSpaceDN/>
    </w:pPr>
    <w:rPr>
      <w:rFonts w:ascii="Verdana" w:eastAsia="Times New Roman" w:hAnsi="Verdana" w:cs="Times New Roman"/>
      <w:noProof/>
      <w:sz w:val="14"/>
      <w:szCs w:val="18"/>
      <w:lang w:val="en-GB" w:eastAsia="zh-CN"/>
    </w:rPr>
  </w:style>
  <w:style w:type="paragraph" w:customStyle="1" w:styleId="Footer1">
    <w:name w:val="Footer_1"/>
    <w:rsid w:val="006C3A39"/>
    <w:pPr>
      <w:widowControl/>
      <w:tabs>
        <w:tab w:val="right" w:pos="9072"/>
      </w:tabs>
      <w:autoSpaceDE/>
      <w:autoSpaceDN/>
    </w:pPr>
    <w:rPr>
      <w:rFonts w:ascii="Verdana" w:eastAsia="Times New Roman" w:hAnsi="Verdana" w:cs="Times New Roman"/>
      <w:noProof/>
      <w:sz w:val="14"/>
      <w:szCs w:val="18"/>
      <w:lang w:val="en-GB" w:eastAsia="zh-CN"/>
    </w:rPr>
  </w:style>
  <w:style w:type="paragraph" w:customStyle="1" w:styleId="FooterReference1">
    <w:name w:val="FooterReference_1"/>
    <w:semiHidden/>
    <w:rsid w:val="006C3A39"/>
    <w:pPr>
      <w:widowControl/>
      <w:tabs>
        <w:tab w:val="right" w:pos="9072"/>
      </w:tabs>
      <w:autoSpaceDE/>
      <w:autoSpaceDN/>
      <w:spacing w:before="1"/>
      <w:ind w:left="457" w:right="479"/>
    </w:pPr>
    <w:rPr>
      <w:rFonts w:ascii="Times New Roman" w:eastAsia="Times New Roman" w:hAnsi="Times New Roman" w:cs="Times New Roman"/>
      <w:noProof/>
      <w:sz w:val="16"/>
      <w:szCs w:val="18"/>
      <w:lang w:val="en-GB" w:eastAsia="zh-CN"/>
    </w:rPr>
  </w:style>
  <w:style w:type="table" w:customStyle="1" w:styleId="MediumShading2-Accent51">
    <w:name w:val="MediumShading2-Accent5_1"/>
    <w:uiPriority w:val="64"/>
    <w:rsid w:val="006C3A39"/>
    <w:pPr>
      <w:widowControl/>
      <w:autoSpaceDE/>
      <w:autoSpaceDN/>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SubtleEmphasis1">
    <w:name w:val="SubtleEmphasis_1"/>
    <w:uiPriority w:val="19"/>
    <w:qFormat/>
    <w:rsid w:val="006C3A39"/>
    <w:rPr>
      <w:rFonts w:ascii="Verdana" w:eastAsia="Times New Roman" w:hAnsi="Verdana" w:cs="Times New Roman"/>
      <w:i/>
      <w:iCs/>
      <w:sz w:val="18"/>
      <w:szCs w:val="18"/>
      <w:lang w:val="en-GB" w:eastAsia="zh-CN"/>
    </w:rPr>
  </w:style>
  <w:style w:type="paragraph" w:customStyle="1" w:styleId="DecimalAligned1">
    <w:name w:val="DecimalAligned_1"/>
    <w:uiPriority w:val="40"/>
    <w:qFormat/>
    <w:rsid w:val="006C3A39"/>
    <w:pPr>
      <w:widowControl/>
      <w:tabs>
        <w:tab w:val="decimal" w:pos="360"/>
      </w:tabs>
      <w:autoSpaceDE/>
      <w:autoSpaceDN/>
      <w:spacing w:after="200" w:line="276" w:lineRule="auto"/>
    </w:pPr>
    <w:rPr>
      <w:rFonts w:cs="Times New Roman"/>
      <w:sz w:val="18"/>
      <w:szCs w:val="18"/>
      <w:lang w:val="en-GB" w:eastAsia="zh-CN"/>
    </w:rPr>
  </w:style>
  <w:style w:type="paragraph" w:customStyle="1" w:styleId="ListParagraph1">
    <w:name w:val="ListParagraph_1"/>
    <w:uiPriority w:val="34"/>
    <w:rsid w:val="006C3A39"/>
    <w:pPr>
      <w:widowControl/>
      <w:autoSpaceDE/>
      <w:autoSpaceDN/>
      <w:ind w:left="720"/>
      <w:contextualSpacing/>
    </w:pPr>
    <w:rPr>
      <w:rFonts w:ascii="Verdana" w:eastAsia="Times New Roman" w:hAnsi="Verdana" w:cs="Times New Roman"/>
      <w:sz w:val="18"/>
      <w:szCs w:val="18"/>
      <w:lang w:val="en-GB" w:eastAsia="zh-CN"/>
    </w:rPr>
  </w:style>
  <w:style w:type="paragraph" w:customStyle="1" w:styleId="CMSANTOCHeading">
    <w:name w:val="CMS AN TOC Heading"/>
    <w:next w:val="Normal"/>
    <w:uiPriority w:val="39"/>
    <w:rsid w:val="005F28D3"/>
    <w:pPr>
      <w:keepNext/>
      <w:widowControl/>
      <w:autoSpaceDE/>
      <w:autoSpaceDN/>
      <w:spacing w:after="240" w:line="300" w:lineRule="atLeast"/>
      <w:jc w:val="center"/>
    </w:pPr>
    <w:rPr>
      <w:rFonts w:ascii="Times New Roman" w:eastAsiaTheme="minorHAnsi" w:hAnsi="Times New Roman" w:cs="Segoe Script"/>
      <w:b/>
      <w:caps/>
      <w:color w:val="000000" w:themeColor="text1"/>
      <w:lang w:val="en-GB"/>
    </w:rPr>
  </w:style>
  <w:style w:type="character" w:styleId="PlaceholderText">
    <w:name w:val="Placeholder Text"/>
    <w:basedOn w:val="DefaultParagraphFont"/>
    <w:uiPriority w:val="99"/>
    <w:semiHidden/>
    <w:rsid w:val="005F28D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396684">
      <w:bodyDiv w:val="1"/>
      <w:marLeft w:val="0"/>
      <w:marRight w:val="0"/>
      <w:marTop w:val="0"/>
      <w:marBottom w:val="0"/>
      <w:divBdr>
        <w:top w:val="none" w:sz="0" w:space="0" w:color="auto"/>
        <w:left w:val="none" w:sz="0" w:space="0" w:color="auto"/>
        <w:bottom w:val="none" w:sz="0" w:space="0" w:color="auto"/>
        <w:right w:val="none" w:sz="0" w:space="0" w:color="auto"/>
      </w:divBdr>
    </w:div>
    <w:div w:id="234752331">
      <w:bodyDiv w:val="1"/>
      <w:marLeft w:val="0"/>
      <w:marRight w:val="0"/>
      <w:marTop w:val="0"/>
      <w:marBottom w:val="0"/>
      <w:divBdr>
        <w:top w:val="none" w:sz="0" w:space="0" w:color="auto"/>
        <w:left w:val="none" w:sz="0" w:space="0" w:color="auto"/>
        <w:bottom w:val="none" w:sz="0" w:space="0" w:color="auto"/>
        <w:right w:val="none" w:sz="0" w:space="0" w:color="auto"/>
      </w:divBdr>
    </w:div>
    <w:div w:id="601379255">
      <w:bodyDiv w:val="1"/>
      <w:marLeft w:val="0"/>
      <w:marRight w:val="0"/>
      <w:marTop w:val="0"/>
      <w:marBottom w:val="0"/>
      <w:divBdr>
        <w:top w:val="none" w:sz="0" w:space="0" w:color="auto"/>
        <w:left w:val="none" w:sz="0" w:space="0" w:color="auto"/>
        <w:bottom w:val="none" w:sz="0" w:space="0" w:color="auto"/>
        <w:right w:val="none" w:sz="0" w:space="0" w:color="auto"/>
      </w:divBdr>
    </w:div>
    <w:div w:id="655494678">
      <w:bodyDiv w:val="1"/>
      <w:marLeft w:val="0"/>
      <w:marRight w:val="0"/>
      <w:marTop w:val="0"/>
      <w:marBottom w:val="0"/>
      <w:divBdr>
        <w:top w:val="none" w:sz="0" w:space="0" w:color="auto"/>
        <w:left w:val="none" w:sz="0" w:space="0" w:color="auto"/>
        <w:bottom w:val="none" w:sz="0" w:space="0" w:color="auto"/>
        <w:right w:val="none" w:sz="0" w:space="0" w:color="auto"/>
      </w:divBdr>
    </w:div>
    <w:div w:id="1220167298">
      <w:bodyDiv w:val="1"/>
      <w:marLeft w:val="0"/>
      <w:marRight w:val="0"/>
      <w:marTop w:val="0"/>
      <w:marBottom w:val="0"/>
      <w:divBdr>
        <w:top w:val="none" w:sz="0" w:space="0" w:color="auto"/>
        <w:left w:val="none" w:sz="0" w:space="0" w:color="auto"/>
        <w:bottom w:val="none" w:sz="0" w:space="0" w:color="auto"/>
        <w:right w:val="none" w:sz="0" w:space="0" w:color="auto"/>
      </w:divBdr>
    </w:div>
    <w:div w:id="1347436775">
      <w:bodyDiv w:val="1"/>
      <w:marLeft w:val="0"/>
      <w:marRight w:val="0"/>
      <w:marTop w:val="0"/>
      <w:marBottom w:val="0"/>
      <w:divBdr>
        <w:top w:val="none" w:sz="0" w:space="0" w:color="auto"/>
        <w:left w:val="none" w:sz="0" w:space="0" w:color="auto"/>
        <w:bottom w:val="none" w:sz="0" w:space="0" w:color="auto"/>
        <w:right w:val="none" w:sz="0" w:space="0" w:color="auto"/>
      </w:divBdr>
      <w:divsChild>
        <w:div w:id="1091195578">
          <w:marLeft w:val="0"/>
          <w:marRight w:val="0"/>
          <w:marTop w:val="0"/>
          <w:marBottom w:val="0"/>
          <w:divBdr>
            <w:top w:val="none" w:sz="0" w:space="0" w:color="auto"/>
            <w:left w:val="none" w:sz="0" w:space="0" w:color="auto"/>
            <w:bottom w:val="none" w:sz="0" w:space="0" w:color="auto"/>
            <w:right w:val="none" w:sz="0" w:space="0" w:color="auto"/>
          </w:divBdr>
          <w:divsChild>
            <w:div w:id="2003507994">
              <w:marLeft w:val="0"/>
              <w:marRight w:val="0"/>
              <w:marTop w:val="0"/>
              <w:marBottom w:val="0"/>
              <w:divBdr>
                <w:top w:val="none" w:sz="0" w:space="0" w:color="auto"/>
                <w:left w:val="none" w:sz="0" w:space="0" w:color="auto"/>
                <w:bottom w:val="none" w:sz="0" w:space="0" w:color="auto"/>
                <w:right w:val="none" w:sz="0" w:space="0" w:color="auto"/>
              </w:divBdr>
              <w:divsChild>
                <w:div w:id="1786195240">
                  <w:marLeft w:val="0"/>
                  <w:marRight w:val="0"/>
                  <w:marTop w:val="0"/>
                  <w:marBottom w:val="0"/>
                  <w:divBdr>
                    <w:top w:val="none" w:sz="0" w:space="0" w:color="auto"/>
                    <w:left w:val="none" w:sz="0" w:space="0" w:color="auto"/>
                    <w:bottom w:val="none" w:sz="0" w:space="0" w:color="auto"/>
                    <w:right w:val="none" w:sz="0" w:space="0" w:color="auto"/>
                  </w:divBdr>
                  <w:divsChild>
                    <w:div w:id="137986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587412">
      <w:bodyDiv w:val="1"/>
      <w:marLeft w:val="0"/>
      <w:marRight w:val="0"/>
      <w:marTop w:val="0"/>
      <w:marBottom w:val="0"/>
      <w:divBdr>
        <w:top w:val="none" w:sz="0" w:space="0" w:color="auto"/>
        <w:left w:val="none" w:sz="0" w:space="0" w:color="auto"/>
        <w:bottom w:val="none" w:sz="0" w:space="0" w:color="auto"/>
        <w:right w:val="none" w:sz="0" w:space="0" w:color="auto"/>
      </w:divBdr>
      <w:divsChild>
        <w:div w:id="447697487">
          <w:marLeft w:val="0"/>
          <w:marRight w:val="0"/>
          <w:marTop w:val="0"/>
          <w:marBottom w:val="0"/>
          <w:divBdr>
            <w:top w:val="none" w:sz="0" w:space="0" w:color="auto"/>
            <w:left w:val="none" w:sz="0" w:space="0" w:color="auto"/>
            <w:bottom w:val="none" w:sz="0" w:space="0" w:color="auto"/>
            <w:right w:val="none" w:sz="0" w:space="0" w:color="auto"/>
          </w:divBdr>
          <w:divsChild>
            <w:div w:id="1301767309">
              <w:marLeft w:val="0"/>
              <w:marRight w:val="0"/>
              <w:marTop w:val="0"/>
              <w:marBottom w:val="0"/>
              <w:divBdr>
                <w:top w:val="none" w:sz="0" w:space="0" w:color="auto"/>
                <w:left w:val="none" w:sz="0" w:space="0" w:color="auto"/>
                <w:bottom w:val="none" w:sz="0" w:space="0" w:color="auto"/>
                <w:right w:val="none" w:sz="0" w:space="0" w:color="auto"/>
              </w:divBdr>
              <w:divsChild>
                <w:div w:id="574166176">
                  <w:marLeft w:val="0"/>
                  <w:marRight w:val="0"/>
                  <w:marTop w:val="0"/>
                  <w:marBottom w:val="0"/>
                  <w:divBdr>
                    <w:top w:val="none" w:sz="0" w:space="0" w:color="auto"/>
                    <w:left w:val="none" w:sz="0" w:space="0" w:color="auto"/>
                    <w:bottom w:val="none" w:sz="0" w:space="0" w:color="auto"/>
                    <w:right w:val="none" w:sz="0" w:space="0" w:color="auto"/>
                  </w:divBdr>
                  <w:divsChild>
                    <w:div w:id="177447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332373">
      <w:bodyDiv w:val="1"/>
      <w:marLeft w:val="0"/>
      <w:marRight w:val="0"/>
      <w:marTop w:val="0"/>
      <w:marBottom w:val="0"/>
      <w:divBdr>
        <w:top w:val="none" w:sz="0" w:space="0" w:color="auto"/>
        <w:left w:val="none" w:sz="0" w:space="0" w:color="auto"/>
        <w:bottom w:val="none" w:sz="0" w:space="0" w:color="auto"/>
        <w:right w:val="none" w:sz="0" w:space="0" w:color="auto"/>
      </w:divBdr>
      <w:divsChild>
        <w:div w:id="1401949394">
          <w:marLeft w:val="0"/>
          <w:marRight w:val="0"/>
          <w:marTop w:val="0"/>
          <w:marBottom w:val="0"/>
          <w:divBdr>
            <w:top w:val="none" w:sz="0" w:space="0" w:color="auto"/>
            <w:left w:val="none" w:sz="0" w:space="0" w:color="auto"/>
            <w:bottom w:val="none" w:sz="0" w:space="0" w:color="auto"/>
            <w:right w:val="none" w:sz="0" w:space="0" w:color="auto"/>
          </w:divBdr>
          <w:divsChild>
            <w:div w:id="784080603">
              <w:marLeft w:val="0"/>
              <w:marRight w:val="0"/>
              <w:marTop w:val="0"/>
              <w:marBottom w:val="0"/>
              <w:divBdr>
                <w:top w:val="none" w:sz="0" w:space="0" w:color="auto"/>
                <w:left w:val="none" w:sz="0" w:space="0" w:color="auto"/>
                <w:bottom w:val="none" w:sz="0" w:space="0" w:color="auto"/>
                <w:right w:val="none" w:sz="0" w:space="0" w:color="auto"/>
              </w:divBdr>
              <w:divsChild>
                <w:div w:id="795684722">
                  <w:marLeft w:val="0"/>
                  <w:marRight w:val="0"/>
                  <w:marTop w:val="0"/>
                  <w:marBottom w:val="0"/>
                  <w:divBdr>
                    <w:top w:val="none" w:sz="0" w:space="0" w:color="auto"/>
                    <w:left w:val="none" w:sz="0" w:space="0" w:color="auto"/>
                    <w:bottom w:val="none" w:sz="0" w:space="0" w:color="auto"/>
                    <w:right w:val="none" w:sz="0" w:space="0" w:color="auto"/>
                  </w:divBdr>
                  <w:divsChild>
                    <w:div w:id="2622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378906">
      <w:bodyDiv w:val="1"/>
      <w:marLeft w:val="0"/>
      <w:marRight w:val="0"/>
      <w:marTop w:val="0"/>
      <w:marBottom w:val="0"/>
      <w:divBdr>
        <w:top w:val="none" w:sz="0" w:space="0" w:color="auto"/>
        <w:left w:val="none" w:sz="0" w:space="0" w:color="auto"/>
        <w:bottom w:val="none" w:sz="0" w:space="0" w:color="auto"/>
        <w:right w:val="none" w:sz="0" w:space="0" w:color="auto"/>
      </w:divBdr>
    </w:div>
    <w:div w:id="1753158951">
      <w:bodyDiv w:val="1"/>
      <w:marLeft w:val="0"/>
      <w:marRight w:val="0"/>
      <w:marTop w:val="0"/>
      <w:marBottom w:val="0"/>
      <w:divBdr>
        <w:top w:val="none" w:sz="0" w:space="0" w:color="auto"/>
        <w:left w:val="none" w:sz="0" w:space="0" w:color="auto"/>
        <w:bottom w:val="none" w:sz="0" w:space="0" w:color="auto"/>
        <w:right w:val="none" w:sz="0" w:space="0" w:color="auto"/>
      </w:divBdr>
    </w:div>
    <w:div w:id="1855269247">
      <w:bodyDiv w:val="1"/>
      <w:marLeft w:val="0"/>
      <w:marRight w:val="0"/>
      <w:marTop w:val="0"/>
      <w:marBottom w:val="0"/>
      <w:divBdr>
        <w:top w:val="none" w:sz="0" w:space="0" w:color="auto"/>
        <w:left w:val="none" w:sz="0" w:space="0" w:color="auto"/>
        <w:bottom w:val="none" w:sz="0" w:space="0" w:color="auto"/>
        <w:right w:val="none" w:sz="0" w:space="0" w:color="auto"/>
      </w:divBdr>
    </w:div>
    <w:div w:id="1898583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header" Target="header6.xml" Id="rId18" /><Relationship Type="http://schemas.openxmlformats.org/officeDocument/2006/relationships/styles" Target="styles.xml" Id="rId3" /><Relationship Type="http://schemas.openxmlformats.org/officeDocument/2006/relationships/header" Target="header8.xml" Id="rId21"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footer" Target="footer5.xml" Id="rId17" /><Relationship Type="http://schemas.openxmlformats.org/officeDocument/2006/relationships/theme" Target="theme/theme1.xml" Id="rId25" /><Relationship Type="http://schemas.openxmlformats.org/officeDocument/2006/relationships/numbering" Target="numbering.xml" Id="rId2" /><Relationship Type="http://schemas.openxmlformats.org/officeDocument/2006/relationships/footer" Target="footer4.xml" Id="rId16" /><Relationship Type="http://schemas.openxmlformats.org/officeDocument/2006/relationships/header" Target="header7.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fontTable" Target="fontTable.xml" Id="rId24" /><Relationship Type="http://schemas.openxmlformats.org/officeDocument/2006/relationships/webSettings" Target="webSettings.xml" Id="rId5" /><Relationship Type="http://schemas.openxmlformats.org/officeDocument/2006/relationships/header" Target="header5.xml" Id="rId15" /><Relationship Type="http://schemas.openxmlformats.org/officeDocument/2006/relationships/header" Target="header9.xml" Id="rId23" /><Relationship Type="http://schemas.openxmlformats.org/officeDocument/2006/relationships/footer" Target="footer1.xml" Id="rId10" /><Relationship Type="http://schemas.openxmlformats.org/officeDocument/2006/relationships/footer" Target="footer6.xml" Id="rId19"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4.xml" Id="rId14" /><Relationship Type="http://schemas.openxmlformats.org/officeDocument/2006/relationships/footer" Target="footer7.xml" Id="rId22"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2.xml><?xml version="1.0" encoding="utf-8"?>
<properties xmlns="http://www.imanage.com/work/xmlschema">
  <documentid>HongKong!630676971.1</documentid>
  <senderid>GIMB</senderid>
  <senderemail>GIGI.MA@CMS-CMNO.COM</senderemail>
  <lastmodified>2025-02-25T15:12:00.0000000+08:00</lastmodified>
  <database>HongKong</database>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116FF-CE49-4388-81B0-24AF15936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7480</Words>
  <Characters>42642</Characters>
  <Application>Microsoft Office Word</Application>
  <DocSecurity>0</DocSecurity>
  <Lines>355</Lines>
  <Paragraphs>100</Paragraphs>
  <ScaleCrop>false</ScaleCrop>
  <Company/>
  <LinksUpToDate>false</LinksUpToDate>
  <CharactersWithSpaces>50022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Gigi Ma</dc:creator>
  <cp:keywords/>
  <cp:lastModifiedBy>Gigi Ma</cp:lastModifiedBy>
  <cp:revision>4</cp:revision>
  <dcterms:created xsi:type="dcterms:W3CDTF">2025-02-25T07:11:00Z</dcterms:created>
  <dcterms:modified xsi:type="dcterms:W3CDTF">2025-02-25T07:12:00Z</dcterms:modified>
</cp:coreProperties>
</file>